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3"/>
        <w:tblW w:w="886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4422" w:type="dxa"/>
            <w:shd w:val="clear" w:color="auto" w:fill="auto"/>
          </w:tcPr>
          <w:p>
            <w:pPr>
              <w:spacing w:line="560" w:lineRule="exact"/>
            </w:pPr>
          </w:p>
        </w:tc>
        <w:tc>
          <w:tcPr>
            <w:tcW w:w="4439" w:type="dxa"/>
            <w:shd w:val="clear" w:color="auto" w:fill="auto"/>
          </w:tcPr>
          <w:p>
            <w:pPr>
              <w:spacing w:line="560" w:lineRule="exact"/>
            </w:pPr>
          </w:p>
        </w:tc>
      </w:tr>
    </w:tbl>
    <w:p>
      <w:pPr>
        <w:spacing w:line="560" w:lineRule="exact"/>
        <w:rPr>
          <w:rFonts w:hint="eastAsia" w:ascii="黑体" w:hAnsi="黑体" w:eastAsia="黑体" w:cs="黑体"/>
          <w:color w:val="000000"/>
        </w:rPr>
      </w:pPr>
      <w:r>
        <w:rPr>
          <w:rFonts w:hint="eastAsia" w:ascii="黑体" w:hAnsi="黑体" w:eastAsia="黑体" w:cs="黑体"/>
          <w:color w:val="000000"/>
        </w:rPr>
        <w:t>附件1</w:t>
      </w:r>
    </w:p>
    <w:p>
      <w:pPr>
        <w:spacing w:line="560" w:lineRule="exact"/>
        <w:rPr>
          <w:rFonts w:ascii="方正小标宋简体" w:hAnsi="方正小标宋简体" w:eastAsia="方正小标宋简体" w:cs="方正小标宋简体"/>
          <w:color w:val="000000"/>
          <w:szCs w:val="44"/>
        </w:rPr>
      </w:pPr>
    </w:p>
    <w:p>
      <w:pPr>
        <w:spacing w:line="56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烟台市重要湿地和一般湿地认定办法（试行）</w:t>
      </w:r>
    </w:p>
    <w:p>
      <w:pPr>
        <w:spacing w:line="560" w:lineRule="exact"/>
        <w:ind w:firstLine="632"/>
        <w:rPr>
          <w:rFonts w:ascii="方正小标宋简体" w:hAnsi="方正小标宋简体" w:eastAsia="方正小标宋简体" w:cs="方正小标宋简体"/>
          <w:color w:val="000000"/>
          <w:szCs w:val="44"/>
        </w:rPr>
      </w:pPr>
    </w:p>
    <w:p>
      <w:pPr>
        <w:spacing w:line="560" w:lineRule="exact"/>
        <w:ind w:firstLine="632"/>
        <w:rPr>
          <w:rFonts w:hint="eastAsia" w:hAnsi="仿宋_GB2312" w:cs="仿宋_GB2312"/>
          <w:color w:val="000000"/>
        </w:rPr>
      </w:pPr>
      <w:r>
        <w:rPr>
          <w:rFonts w:hint="eastAsia" w:ascii="黑体" w:hAnsi="黑体" w:eastAsia="黑体" w:cs="黑体"/>
          <w:color w:val="000000"/>
        </w:rPr>
        <w:t>第一条</w:t>
      </w:r>
      <w:r>
        <w:rPr>
          <w:rFonts w:hint="eastAsia" w:hAnsi="仿宋_GB2312" w:cs="仿宋_GB2312"/>
          <w:color w:val="000000"/>
        </w:rPr>
        <w:t xml:space="preserve">  为规范烟台市重要湿地和一般湿地认定标准和管理工作，依据《湿地保护管理规定》《山东省湿地保护办法》《烟台市人民政府办公室关于加快推进湿地保护修复的实施意见》等有关湿地保护规定，结合本市实际，制定本办法。</w:t>
      </w:r>
    </w:p>
    <w:p>
      <w:pPr>
        <w:spacing w:line="560" w:lineRule="exact"/>
        <w:ind w:firstLine="632"/>
        <w:rPr>
          <w:rFonts w:hint="eastAsia" w:hAnsi="仿宋_GB2312" w:cs="仿宋_GB2312"/>
          <w:color w:val="000000"/>
        </w:rPr>
      </w:pPr>
      <w:r>
        <w:rPr>
          <w:rFonts w:hint="eastAsia" w:ascii="黑体" w:hAnsi="黑体" w:eastAsia="黑体" w:cs="黑体"/>
          <w:color w:val="000000"/>
        </w:rPr>
        <w:t>第二条</w:t>
      </w:r>
      <w:r>
        <w:rPr>
          <w:rFonts w:hint="eastAsia" w:hAnsi="仿宋_GB2312" w:cs="仿宋_GB2312"/>
          <w:color w:val="000000"/>
        </w:rPr>
        <w:t xml:space="preserve">  市重要湿地是指在生物多样性、生态功能重要性等方面具有区域重要意义，经市自然资源部门组织，按程序开展认定工作后，由市自然资源和湿地保护相关部门联合发布的湿地。</w:t>
      </w:r>
    </w:p>
    <w:p>
      <w:pPr>
        <w:spacing w:line="560" w:lineRule="exact"/>
        <w:ind w:firstLine="632"/>
        <w:rPr>
          <w:rFonts w:hint="eastAsia" w:hAnsi="仿宋_GB2312" w:cs="仿宋_GB2312"/>
          <w:color w:val="000000"/>
        </w:rPr>
      </w:pPr>
      <w:r>
        <w:rPr>
          <w:rFonts w:hint="eastAsia" w:hAnsi="仿宋_GB2312" w:cs="仿宋_GB2312"/>
          <w:color w:val="000000"/>
        </w:rPr>
        <w:t>一般</w:t>
      </w:r>
      <w:r>
        <w:rPr>
          <w:rFonts w:hint="eastAsia" w:hAnsi="仿宋_GB2312" w:cs="仿宋_GB2312"/>
          <w:color w:val="000000"/>
          <w:spacing w:val="-3"/>
        </w:rPr>
        <w:t>湿地是指重要湿地以外的面积在8公顷以上的湿地，经区市自然资源和林业主管部门组织，按程序开展认定工作后，由区市自然资源和林业主管部门与湿地保护相关部门联合发布的湿地。</w:t>
      </w:r>
    </w:p>
    <w:p>
      <w:pPr>
        <w:spacing w:line="560" w:lineRule="exact"/>
        <w:ind w:firstLine="632"/>
        <w:rPr>
          <w:rFonts w:hint="eastAsia" w:hAnsi="仿宋_GB2312" w:cs="仿宋_GB2312"/>
          <w:color w:val="000000"/>
        </w:rPr>
      </w:pPr>
      <w:r>
        <w:rPr>
          <w:rFonts w:hint="eastAsia" w:ascii="黑体" w:hAnsi="黑体" w:eastAsia="黑体" w:cs="黑体"/>
          <w:color w:val="000000"/>
        </w:rPr>
        <w:t>第三条</w:t>
      </w:r>
      <w:r>
        <w:rPr>
          <w:rFonts w:hint="eastAsia" w:hAnsi="仿宋_GB2312" w:cs="仿宋_GB2312"/>
          <w:color w:val="000000"/>
        </w:rPr>
        <w:t xml:space="preserve">  市自然资源部门负责市重要湿地的认定组织工作；各区市自然资源和林业主管部门负责一般湿地的认定组织工作。发展改革、财政、生态环境、城管局、水利、农业农村、海洋发展和渔业等湿地保护相关部门应积极配合做好湿地认定工作。</w:t>
      </w:r>
    </w:p>
    <w:p>
      <w:pPr>
        <w:spacing w:line="560" w:lineRule="exact"/>
        <w:ind w:firstLine="632"/>
        <w:rPr>
          <w:rFonts w:hint="eastAsia" w:hAnsi="仿宋_GB2312" w:cs="仿宋_GB2312"/>
          <w:color w:val="000000"/>
        </w:rPr>
      </w:pPr>
      <w:r>
        <w:rPr>
          <w:rFonts w:hint="eastAsia" w:ascii="黑体" w:hAnsi="黑体" w:eastAsia="黑体" w:cs="黑体"/>
          <w:color w:val="000000"/>
        </w:rPr>
        <w:t>第四条</w:t>
      </w:r>
      <w:r>
        <w:rPr>
          <w:rFonts w:hint="eastAsia" w:hAnsi="仿宋_GB2312" w:cs="仿宋_GB2312"/>
          <w:color w:val="000000"/>
        </w:rPr>
        <w:t xml:space="preserve">  根据湿地区位、规模、功能、属性和生态效益的重要性，面积8公顷以上，且符合下列条件之一的湿地，可认定为市重要湿地：</w:t>
      </w:r>
    </w:p>
    <w:p>
      <w:pPr>
        <w:spacing w:line="560" w:lineRule="exact"/>
        <w:ind w:firstLine="632"/>
        <w:rPr>
          <w:rFonts w:hint="eastAsia" w:hAnsi="仿宋_GB2312" w:cs="仿宋_GB2312"/>
          <w:color w:val="000000"/>
        </w:rPr>
      </w:pPr>
      <w:r>
        <w:rPr>
          <w:rFonts w:hint="eastAsia" w:hAnsi="仿宋_GB2312" w:cs="仿宋_GB2312"/>
          <w:color w:val="000000"/>
        </w:rPr>
        <w:t>（一）已列入国际重要湿地、国家重要湿地、省重要湿地名录的湿地；</w:t>
      </w:r>
    </w:p>
    <w:p>
      <w:pPr>
        <w:spacing w:line="560" w:lineRule="exact"/>
        <w:ind w:firstLine="632"/>
        <w:rPr>
          <w:rFonts w:hint="eastAsia" w:hAnsi="仿宋_GB2312" w:cs="仿宋_GB2312"/>
          <w:color w:val="000000"/>
        </w:rPr>
      </w:pPr>
      <w:r>
        <w:rPr>
          <w:rFonts w:hint="eastAsia" w:hAnsi="仿宋_GB2312" w:cs="仿宋_GB2312"/>
          <w:color w:val="000000"/>
        </w:rPr>
        <w:t>（二）已建立国家级、地方级自然保护地范围内的湿地；</w:t>
      </w:r>
    </w:p>
    <w:p>
      <w:pPr>
        <w:spacing w:line="560" w:lineRule="exact"/>
        <w:ind w:firstLine="632"/>
        <w:rPr>
          <w:rFonts w:hint="eastAsia" w:hAnsi="仿宋_GB2312" w:cs="仿宋_GB2312"/>
          <w:color w:val="000000"/>
        </w:rPr>
      </w:pPr>
      <w:r>
        <w:rPr>
          <w:rFonts w:hint="eastAsia" w:hAnsi="仿宋_GB2312" w:cs="仿宋_GB2312"/>
          <w:color w:val="000000"/>
        </w:rPr>
        <w:t>（三）市域范围内具有典型性、代表性、稀有性或独特性的湿地；</w:t>
      </w:r>
    </w:p>
    <w:p>
      <w:pPr>
        <w:spacing w:line="560" w:lineRule="exact"/>
        <w:ind w:firstLine="632"/>
        <w:rPr>
          <w:rFonts w:hint="eastAsia" w:hAnsi="仿宋_GB2312" w:cs="仿宋_GB2312"/>
          <w:color w:val="000000"/>
        </w:rPr>
      </w:pPr>
      <w:r>
        <w:rPr>
          <w:rFonts w:hint="eastAsia" w:hAnsi="仿宋_GB2312" w:cs="仿宋_GB2312"/>
          <w:color w:val="000000"/>
        </w:rPr>
        <w:t>（四）具有国家或省级重点保护物种分布的湿地；</w:t>
      </w:r>
    </w:p>
    <w:p>
      <w:pPr>
        <w:spacing w:line="560" w:lineRule="exact"/>
        <w:ind w:firstLine="632"/>
        <w:rPr>
          <w:rFonts w:hint="eastAsia" w:hAnsi="仿宋_GB2312" w:cs="仿宋_GB2312"/>
          <w:color w:val="000000"/>
        </w:rPr>
      </w:pPr>
      <w:r>
        <w:rPr>
          <w:rFonts w:hint="eastAsia" w:hAnsi="仿宋_GB2312" w:cs="仿宋_GB2312"/>
          <w:color w:val="000000"/>
        </w:rPr>
        <w:t>（五）支持着易危、濒危、极度濒危物种或者受威胁的生态群落的湿地；</w:t>
      </w:r>
    </w:p>
    <w:p>
      <w:pPr>
        <w:spacing w:line="560" w:lineRule="exact"/>
        <w:ind w:firstLine="632"/>
        <w:rPr>
          <w:rFonts w:hint="eastAsia" w:hAnsi="仿宋_GB2312" w:cs="仿宋_GB2312"/>
          <w:color w:val="000000"/>
        </w:rPr>
      </w:pPr>
      <w:r>
        <w:rPr>
          <w:rFonts w:hint="eastAsia" w:hAnsi="仿宋_GB2312" w:cs="仿宋_GB2312"/>
          <w:color w:val="000000"/>
        </w:rPr>
        <w:t>（六）支持着对于维持一个特定生物地理区的生物多样性具有重要意义的植物或动物种群的湿地；</w:t>
      </w:r>
    </w:p>
    <w:p>
      <w:pPr>
        <w:spacing w:line="560" w:lineRule="exact"/>
        <w:ind w:firstLine="632"/>
        <w:rPr>
          <w:rFonts w:hint="eastAsia" w:hAnsi="仿宋_GB2312" w:cs="仿宋_GB2312"/>
          <w:color w:val="000000"/>
        </w:rPr>
      </w:pPr>
      <w:r>
        <w:rPr>
          <w:rFonts w:hint="eastAsia" w:hAnsi="仿宋_GB2312" w:cs="仿宋_GB2312"/>
          <w:color w:val="000000"/>
        </w:rPr>
        <w:t>（七）支持动植物种生命周期的某一关键阶段或在对动植物种生存不利的生态条件下对其提供庇护场所的湿地；</w:t>
      </w:r>
    </w:p>
    <w:p>
      <w:pPr>
        <w:spacing w:line="560" w:lineRule="exact"/>
        <w:ind w:firstLine="632"/>
        <w:rPr>
          <w:rFonts w:hint="eastAsia" w:hAnsi="仿宋_GB2312" w:cs="仿宋_GB2312"/>
          <w:color w:val="000000"/>
        </w:rPr>
      </w:pPr>
      <w:r>
        <w:rPr>
          <w:rFonts w:hint="eastAsia" w:hAnsi="仿宋_GB2312" w:cs="仿宋_GB2312"/>
          <w:color w:val="000000"/>
        </w:rPr>
        <w:t>（八）定期栖息有500只或更多的水鸟的湿地；</w:t>
      </w:r>
    </w:p>
    <w:p>
      <w:pPr>
        <w:spacing w:line="560" w:lineRule="exact"/>
        <w:ind w:firstLine="632"/>
        <w:rPr>
          <w:rFonts w:hint="eastAsia" w:hAnsi="仿宋_GB2312" w:cs="仿宋_GB2312"/>
          <w:color w:val="000000"/>
        </w:rPr>
      </w:pPr>
      <w:r>
        <w:rPr>
          <w:rFonts w:hint="eastAsia" w:hAnsi="仿宋_GB2312" w:cs="仿宋_GB2312"/>
          <w:color w:val="000000"/>
        </w:rPr>
        <w:t>（九）定期栖息某一依赖湿地的非鸟类野生动物种或亚种的个体数量，占该种群全省个体数量的1%以上的湿地；</w:t>
      </w:r>
    </w:p>
    <w:p>
      <w:pPr>
        <w:spacing w:line="560" w:lineRule="exact"/>
        <w:ind w:firstLine="632"/>
        <w:rPr>
          <w:rFonts w:hint="eastAsia" w:hAnsi="仿宋_GB2312" w:cs="仿宋_GB2312"/>
          <w:color w:val="000000"/>
        </w:rPr>
      </w:pPr>
      <w:r>
        <w:rPr>
          <w:rFonts w:hint="eastAsia" w:hAnsi="仿宋_GB2312" w:cs="仿宋_GB2312"/>
          <w:color w:val="000000"/>
        </w:rPr>
        <w:t>（十）栖息着本地鱼类的亚种、种或科的绝大部分，其生命周期的各个阶段，种间或种群间的关系对维护湿地效益和价值方面具有典型性，并因此有助于生物多样性保护的湿地；</w:t>
      </w:r>
    </w:p>
    <w:p>
      <w:pPr>
        <w:spacing w:line="560" w:lineRule="exact"/>
        <w:ind w:firstLine="632"/>
        <w:rPr>
          <w:rFonts w:hint="eastAsia" w:hAnsi="仿宋_GB2312" w:cs="仿宋_GB2312"/>
          <w:color w:val="000000"/>
        </w:rPr>
      </w:pPr>
      <w:r>
        <w:rPr>
          <w:rFonts w:hint="eastAsia" w:hAnsi="仿宋_GB2312" w:cs="仿宋_GB2312"/>
          <w:color w:val="000000"/>
        </w:rPr>
        <w:t>（十一）是鱼类重要的觅食场所、产卵场、育幼场或洄游路线的湿地；</w:t>
      </w:r>
    </w:p>
    <w:p>
      <w:pPr>
        <w:spacing w:line="560" w:lineRule="exact"/>
        <w:ind w:firstLine="632"/>
        <w:rPr>
          <w:rFonts w:hint="eastAsia" w:hAnsi="仿宋_GB2312" w:cs="仿宋_GB2312"/>
          <w:color w:val="000000"/>
        </w:rPr>
      </w:pPr>
      <w:r>
        <w:rPr>
          <w:rFonts w:hint="eastAsia" w:hAnsi="仿宋_GB2312" w:cs="仿宋_GB2312"/>
          <w:color w:val="000000"/>
        </w:rPr>
        <w:t>（十二）分布在河流源头区或其他重要水源地，具有重要生态学或水文作用的湿地；</w:t>
      </w:r>
    </w:p>
    <w:p>
      <w:pPr>
        <w:spacing w:line="560" w:lineRule="exact"/>
        <w:ind w:firstLine="632"/>
        <w:rPr>
          <w:rFonts w:hint="eastAsia" w:hAnsi="仿宋_GB2312" w:cs="仿宋_GB2312"/>
          <w:color w:val="000000"/>
        </w:rPr>
      </w:pPr>
      <w:r>
        <w:rPr>
          <w:rFonts w:hint="eastAsia" w:hAnsi="仿宋_GB2312" w:cs="仿宋_GB2312"/>
          <w:color w:val="000000"/>
        </w:rPr>
        <w:t>（十三）具有重要的文化、科学研究和宣传教育价值的湿地；</w:t>
      </w:r>
    </w:p>
    <w:p>
      <w:pPr>
        <w:spacing w:line="560" w:lineRule="exact"/>
        <w:ind w:firstLine="632"/>
        <w:rPr>
          <w:rFonts w:hint="eastAsia" w:hAnsi="仿宋_GB2312" w:cs="仿宋_GB2312"/>
          <w:color w:val="000000"/>
        </w:rPr>
      </w:pPr>
      <w:r>
        <w:rPr>
          <w:rFonts w:hint="eastAsia" w:hAnsi="仿宋_GB2312" w:cs="仿宋_GB2312"/>
          <w:color w:val="000000"/>
        </w:rPr>
        <w:t>（十四）东亚—澳大利亚迁徙路线上鸟类重要的栖息地或中途停留地的湿地。</w:t>
      </w:r>
    </w:p>
    <w:p>
      <w:pPr>
        <w:spacing w:line="560" w:lineRule="exact"/>
        <w:ind w:firstLine="632"/>
        <w:rPr>
          <w:rFonts w:hint="eastAsia" w:hAnsi="仿宋_GB2312" w:cs="仿宋_GB2312"/>
          <w:color w:val="000000"/>
        </w:rPr>
      </w:pPr>
      <w:r>
        <w:rPr>
          <w:rFonts w:hint="eastAsia" w:ascii="黑体" w:hAnsi="黑体" w:eastAsia="黑体" w:cs="黑体"/>
          <w:color w:val="000000"/>
        </w:rPr>
        <w:t>第五条</w:t>
      </w:r>
      <w:r>
        <w:rPr>
          <w:rFonts w:hint="eastAsia"/>
          <w:color w:val="000000"/>
        </w:rPr>
        <w:t xml:space="preserve">  一般湿地，由区市自然资源和林业主管部门</w:t>
      </w:r>
      <w:r>
        <w:rPr>
          <w:rFonts w:hint="eastAsia" w:hAnsi="仿宋_GB2312" w:cs="仿宋_GB2312"/>
          <w:color w:val="000000"/>
        </w:rPr>
        <w:t>根据湿地区位、规模、功能、属性和生态效益的重要性，会同区市有关部门研究确定。</w:t>
      </w:r>
    </w:p>
    <w:p>
      <w:pPr>
        <w:spacing w:line="560" w:lineRule="exact"/>
        <w:ind w:firstLine="632"/>
        <w:rPr>
          <w:rFonts w:hint="eastAsia" w:hAnsi="仿宋_GB2312" w:cs="仿宋_GB2312"/>
          <w:color w:val="000000"/>
        </w:rPr>
      </w:pPr>
      <w:r>
        <w:rPr>
          <w:rFonts w:hint="eastAsia" w:ascii="黑体" w:hAnsi="黑体" w:eastAsia="黑体" w:cs="黑体"/>
          <w:color w:val="000000"/>
        </w:rPr>
        <w:t>第六条</w:t>
      </w:r>
      <w:r>
        <w:rPr>
          <w:rFonts w:hint="eastAsia" w:hAnsi="仿宋_GB2312" w:cs="仿宋_GB2312"/>
          <w:color w:val="000000"/>
        </w:rPr>
        <w:t xml:space="preserve">  市重要湿地认定分为申请认定和指定认定。</w:t>
      </w:r>
    </w:p>
    <w:p>
      <w:pPr>
        <w:spacing w:line="560" w:lineRule="exact"/>
        <w:ind w:firstLine="632"/>
        <w:rPr>
          <w:rFonts w:hint="eastAsia" w:hAnsi="仿宋_GB2312" w:cs="仿宋_GB2312"/>
          <w:color w:val="000000"/>
        </w:rPr>
      </w:pPr>
      <w:r>
        <w:rPr>
          <w:rFonts w:hint="eastAsia" w:ascii="黑体" w:hAnsi="黑体" w:eastAsia="黑体" w:cs="黑体"/>
          <w:color w:val="000000"/>
        </w:rPr>
        <w:t>第七条</w:t>
      </w:r>
      <w:r>
        <w:rPr>
          <w:rFonts w:hint="eastAsia" w:hAnsi="仿宋_GB2312" w:cs="仿宋_GB2312"/>
          <w:color w:val="000000"/>
        </w:rPr>
        <w:t xml:space="preserve">  市重要湿地申请认定程序：</w:t>
      </w:r>
    </w:p>
    <w:p>
      <w:pPr>
        <w:spacing w:line="560" w:lineRule="exact"/>
        <w:ind w:firstLine="632"/>
        <w:rPr>
          <w:rFonts w:hint="eastAsia" w:hAnsi="仿宋_GB2312" w:cs="仿宋_GB2312"/>
          <w:color w:val="000000"/>
        </w:rPr>
      </w:pPr>
      <w:r>
        <w:rPr>
          <w:rFonts w:hint="eastAsia" w:hAnsi="仿宋_GB2312" w:cs="仿宋_GB2312"/>
          <w:color w:val="000000"/>
        </w:rPr>
        <w:t>（一）湿地所在区市自然资源和林业主管部门将经本级湿地保护相关部门会签的申报资料报市自然资源部门。</w:t>
      </w:r>
    </w:p>
    <w:p>
      <w:pPr>
        <w:spacing w:line="560" w:lineRule="exact"/>
        <w:ind w:firstLine="632"/>
        <w:rPr>
          <w:rFonts w:hint="eastAsia" w:hAnsi="仿宋_GB2312" w:cs="仿宋_GB2312"/>
          <w:color w:val="000000"/>
        </w:rPr>
      </w:pPr>
      <w:r>
        <w:rPr>
          <w:rFonts w:hint="eastAsia" w:hAnsi="仿宋_GB2312" w:cs="仿宋_GB2312"/>
          <w:color w:val="000000"/>
        </w:rPr>
        <w:t>（二）市自然资源部门收到申报后，对申报材料进行审查，委托专家对申报材料进行现地核查，并召开专家论证会，确定市重要湿地拟发布名录。</w:t>
      </w:r>
    </w:p>
    <w:p>
      <w:pPr>
        <w:spacing w:line="560" w:lineRule="exact"/>
        <w:ind w:firstLine="632"/>
        <w:rPr>
          <w:rFonts w:hint="eastAsia" w:hAnsi="仿宋_GB2312" w:cs="仿宋_GB2312"/>
          <w:color w:val="000000"/>
        </w:rPr>
      </w:pPr>
      <w:r>
        <w:rPr>
          <w:rFonts w:hint="eastAsia" w:hAnsi="仿宋_GB2312" w:cs="仿宋_GB2312"/>
          <w:color w:val="000000"/>
        </w:rPr>
        <w:t>（三）市重要湿地拟发布名录征求市级湿地保护相关部门意见后，进行7个工作日的公示，公示无异议的，市自然资源和湿地保护相关部门联合发布。</w:t>
      </w:r>
    </w:p>
    <w:p>
      <w:pPr>
        <w:spacing w:line="560" w:lineRule="exact"/>
        <w:ind w:firstLine="632"/>
        <w:rPr>
          <w:rFonts w:hint="eastAsia" w:hAnsi="仿宋_GB2312" w:cs="仿宋_GB2312"/>
          <w:color w:val="000000"/>
        </w:rPr>
      </w:pPr>
      <w:r>
        <w:rPr>
          <w:rFonts w:hint="eastAsia" w:ascii="黑体" w:hAnsi="黑体" w:eastAsia="黑体" w:cs="黑体"/>
          <w:color w:val="000000"/>
        </w:rPr>
        <w:t>第八条</w:t>
      </w:r>
      <w:r>
        <w:rPr>
          <w:rFonts w:hint="eastAsia" w:hAnsi="仿宋_GB2312" w:cs="仿宋_GB2312"/>
          <w:color w:val="000000"/>
        </w:rPr>
        <w:t xml:space="preserve">  市重要湿地申报须提交下列材料：</w:t>
      </w:r>
    </w:p>
    <w:p>
      <w:pPr>
        <w:spacing w:line="560" w:lineRule="exact"/>
        <w:ind w:firstLine="632"/>
        <w:rPr>
          <w:rFonts w:hint="eastAsia" w:hAnsi="仿宋_GB2312" w:cs="仿宋_GB2312"/>
          <w:color w:val="000000"/>
        </w:rPr>
      </w:pPr>
      <w:r>
        <w:rPr>
          <w:rFonts w:hint="eastAsia" w:hAnsi="仿宋_GB2312" w:cs="仿宋_GB2312"/>
          <w:color w:val="000000"/>
        </w:rPr>
        <w:t>（一）市重要湿地申报书及其电子文本（见附件）。</w:t>
      </w:r>
    </w:p>
    <w:p>
      <w:pPr>
        <w:spacing w:line="560" w:lineRule="exact"/>
        <w:ind w:firstLine="632"/>
        <w:rPr>
          <w:rFonts w:hint="eastAsia" w:hAnsi="仿宋_GB2312" w:cs="仿宋_GB2312"/>
          <w:color w:val="000000"/>
        </w:rPr>
      </w:pPr>
      <w:r>
        <w:rPr>
          <w:rFonts w:hint="eastAsia" w:hAnsi="仿宋_GB2312" w:cs="仿宋_GB2312"/>
          <w:color w:val="000000"/>
        </w:rPr>
        <w:t>（二）土地权属等证明材料。</w:t>
      </w:r>
    </w:p>
    <w:p>
      <w:pPr>
        <w:spacing w:line="560" w:lineRule="exact"/>
        <w:ind w:firstLine="632"/>
        <w:rPr>
          <w:rFonts w:hint="eastAsia" w:hAnsi="仿宋_GB2312" w:cs="仿宋_GB2312"/>
          <w:color w:val="000000"/>
        </w:rPr>
      </w:pPr>
      <w:r>
        <w:rPr>
          <w:rFonts w:hint="eastAsia" w:hAnsi="仿宋_GB2312" w:cs="仿宋_GB2312"/>
          <w:color w:val="000000"/>
        </w:rPr>
        <w:t>（三）拟列入市重要湿地的湿地面积、湿地范围、湿地类型分布的矢量图。</w:t>
      </w:r>
    </w:p>
    <w:p>
      <w:pPr>
        <w:spacing w:line="560" w:lineRule="exact"/>
        <w:ind w:firstLine="632"/>
        <w:rPr>
          <w:rFonts w:hint="eastAsia" w:hAnsi="仿宋_GB2312" w:cs="仿宋_GB2312"/>
          <w:color w:val="000000"/>
        </w:rPr>
      </w:pPr>
      <w:r>
        <w:rPr>
          <w:rFonts w:hint="eastAsia" w:ascii="黑体" w:hAnsi="黑体" w:eastAsia="黑体" w:cs="黑体"/>
          <w:color w:val="000000"/>
        </w:rPr>
        <w:t>第九条</w:t>
      </w:r>
      <w:r>
        <w:rPr>
          <w:rFonts w:hint="eastAsia" w:hAnsi="仿宋_GB2312" w:cs="仿宋_GB2312"/>
          <w:color w:val="000000"/>
        </w:rPr>
        <w:t xml:space="preserve">  市重要湿地的指定认定，由市自然资源部门根据湿地资源调查结果、湿地保护管理情况及其保护的重要性与紧迫性，会同湿地保护相关部门提出市重要湿地建议名录。经专家论证，公示无异议后联合发布。</w:t>
      </w:r>
    </w:p>
    <w:p>
      <w:pPr>
        <w:spacing w:line="560" w:lineRule="exact"/>
        <w:ind w:firstLine="632"/>
        <w:rPr>
          <w:rFonts w:hint="eastAsia"/>
          <w:color w:val="000000"/>
        </w:rPr>
      </w:pPr>
      <w:r>
        <w:rPr>
          <w:rFonts w:hint="eastAsia" w:ascii="黑体" w:hAnsi="黑体" w:eastAsia="黑体" w:cs="黑体"/>
          <w:color w:val="000000"/>
        </w:rPr>
        <w:t>第十条</w:t>
      </w:r>
      <w:r>
        <w:rPr>
          <w:rFonts w:hint="eastAsia" w:hAnsi="仿宋_GB2312" w:cs="仿宋_GB2312"/>
          <w:color w:val="000000"/>
        </w:rPr>
        <w:t xml:space="preserve">  市重</w:t>
      </w:r>
      <w:r>
        <w:rPr>
          <w:rFonts w:hint="eastAsia" w:hAnsi="仿宋_GB2312" w:cs="仿宋_GB2312"/>
          <w:color w:val="000000"/>
          <w:spacing w:val="-3"/>
        </w:rPr>
        <w:t>要湿地发布内容，主要包括</w:t>
      </w:r>
      <w:r>
        <w:rPr>
          <w:rFonts w:hint="eastAsia"/>
          <w:color w:val="000000"/>
          <w:spacing w:val="-3"/>
        </w:rPr>
        <w:t>湿地名称、所在位置、湿地面积、地理坐标、主要保护对象、湿地管护责任单位，以及范围图的图件和矢量数据等。一般湿地发布内容由各区市发布。</w:t>
      </w:r>
    </w:p>
    <w:p>
      <w:pPr>
        <w:spacing w:line="560" w:lineRule="exact"/>
        <w:ind w:firstLine="632"/>
        <w:rPr>
          <w:rFonts w:hint="eastAsia"/>
          <w:color w:val="000000"/>
        </w:rPr>
      </w:pPr>
      <w:r>
        <w:rPr>
          <w:rFonts w:hint="eastAsia" w:ascii="黑体" w:hAnsi="黑体" w:eastAsia="黑体" w:cs="黑体"/>
          <w:color w:val="000000"/>
        </w:rPr>
        <w:t xml:space="preserve">第十一条 </w:t>
      </w:r>
      <w:r>
        <w:rPr>
          <w:rFonts w:hint="eastAsia"/>
          <w:color w:val="000000"/>
        </w:rPr>
        <w:t xml:space="preserve"> 一般湿地实行指定认定。由区市自然资源和林业主管部门根据</w:t>
      </w:r>
      <w:r>
        <w:rPr>
          <w:rFonts w:hint="eastAsia" w:hAnsi="仿宋_GB2312" w:cs="仿宋_GB2312"/>
          <w:color w:val="000000"/>
        </w:rPr>
        <w:t>湿地资源调查结果、湿地保护管理情况及其保护的重要性，会同湿地保护相关部门提出一般湿地名录，公示无异议后联合发布。</w:t>
      </w:r>
    </w:p>
    <w:p>
      <w:pPr>
        <w:spacing w:line="560" w:lineRule="exact"/>
        <w:ind w:firstLine="632"/>
        <w:rPr>
          <w:rFonts w:hint="eastAsia" w:hAnsi="仿宋_GB2312" w:cs="仿宋_GB2312"/>
          <w:color w:val="000000"/>
        </w:rPr>
      </w:pPr>
      <w:r>
        <w:rPr>
          <w:rFonts w:hint="eastAsia" w:ascii="黑体" w:hAnsi="黑体" w:eastAsia="黑体" w:cs="黑体"/>
          <w:color w:val="000000"/>
        </w:rPr>
        <w:t>第十二条</w:t>
      </w:r>
      <w:r>
        <w:rPr>
          <w:rFonts w:hint="eastAsia" w:hAnsi="仿宋_GB2312" w:cs="仿宋_GB2312"/>
          <w:color w:val="000000"/>
        </w:rPr>
        <w:t xml:space="preserve">  市重要湿地命名方式为：“烟台市+湿地名”。已有保护形式的，以批复的保护形式名为准。</w:t>
      </w:r>
    </w:p>
    <w:p>
      <w:pPr>
        <w:spacing w:line="560" w:lineRule="exact"/>
        <w:ind w:firstLine="632"/>
        <w:rPr>
          <w:rFonts w:hint="eastAsia" w:hAnsi="仿宋_GB2312" w:cs="仿宋_GB2312"/>
          <w:color w:val="000000"/>
        </w:rPr>
      </w:pPr>
      <w:r>
        <w:rPr>
          <w:rFonts w:hint="eastAsia" w:hAnsi="仿宋_GB2312" w:cs="仿宋_GB2312"/>
          <w:color w:val="000000"/>
        </w:rPr>
        <w:t>一般湿地命名方式为：“**区市+湿地名”。</w:t>
      </w:r>
    </w:p>
    <w:p>
      <w:pPr>
        <w:spacing w:line="560" w:lineRule="exact"/>
        <w:ind w:firstLine="632"/>
        <w:rPr>
          <w:rFonts w:hint="eastAsia" w:hAnsi="仿宋_GB2312" w:cs="仿宋_GB2312"/>
          <w:color w:val="000000"/>
        </w:rPr>
      </w:pPr>
      <w:r>
        <w:rPr>
          <w:rFonts w:hint="eastAsia" w:ascii="黑体" w:hAnsi="黑体" w:eastAsia="黑体" w:cs="黑体"/>
          <w:color w:val="000000"/>
        </w:rPr>
        <w:t>第十三条</w:t>
      </w:r>
      <w:r>
        <w:rPr>
          <w:rFonts w:hint="eastAsia" w:hAnsi="仿宋_GB2312" w:cs="仿宋_GB2312"/>
          <w:color w:val="000000"/>
        </w:rPr>
        <w:t xml:space="preserve">  市自然资源主管部门、区市自然资源和林业主管部门负责对本行政区域内重要湿地和一般湿地保护的组织、协调、指导和监督；自然资源和林业、生态环境、城管局、水利、农业农村、海洋发展和渔业等湿地保护相关部门按照职责分工，具体负责重要湿地和一般湿地的保护管理工作。</w:t>
      </w:r>
    </w:p>
    <w:p>
      <w:pPr>
        <w:spacing w:line="560" w:lineRule="exact"/>
        <w:ind w:firstLine="632"/>
        <w:rPr>
          <w:rFonts w:hint="eastAsia" w:hAnsi="仿宋_GB2312" w:cs="仿宋_GB2312"/>
          <w:color w:val="000000"/>
        </w:rPr>
      </w:pPr>
      <w:r>
        <w:rPr>
          <w:rFonts w:hint="eastAsia" w:ascii="黑体" w:hAnsi="黑体" w:eastAsia="黑体" w:cs="黑体"/>
          <w:color w:val="000000"/>
        </w:rPr>
        <w:t>第十四条</w:t>
      </w:r>
      <w:r>
        <w:rPr>
          <w:rFonts w:hint="eastAsia" w:hAnsi="仿宋_GB2312" w:cs="仿宋_GB2312"/>
          <w:color w:val="000000"/>
        </w:rPr>
        <w:t xml:space="preserve">  市重要湿地认定后，应当在湿地周边设立保护标牌，标明湿地名称、湿地类型、保护级别、保护范围、管护责任单位、禁止行为及监督电话等内容。</w:t>
      </w:r>
    </w:p>
    <w:p>
      <w:pPr>
        <w:spacing w:line="560" w:lineRule="exact"/>
        <w:ind w:firstLine="632"/>
        <w:rPr>
          <w:rFonts w:hint="eastAsia" w:hAnsi="仿宋_GB2312" w:cs="仿宋_GB2312"/>
          <w:color w:val="000000"/>
        </w:rPr>
      </w:pPr>
      <w:r>
        <w:rPr>
          <w:rFonts w:hint="eastAsia" w:hAnsi="仿宋_GB2312" w:cs="仿宋_GB2312"/>
          <w:color w:val="000000"/>
        </w:rPr>
        <w:t>市</w:t>
      </w:r>
      <w:r>
        <w:rPr>
          <w:rFonts w:hint="eastAsia" w:hAnsi="仿宋_GB2312" w:cs="仿宋_GB2312"/>
          <w:color w:val="000000"/>
          <w:spacing w:val="-7"/>
        </w:rPr>
        <w:t>重要湿地已有保护形式的，同时遵守原保护形式的法律法规。</w:t>
      </w:r>
    </w:p>
    <w:p>
      <w:pPr>
        <w:spacing w:line="560" w:lineRule="exact"/>
        <w:ind w:firstLine="632"/>
        <w:rPr>
          <w:rFonts w:hint="eastAsia" w:hAnsi="仿宋_GB2312" w:cs="仿宋_GB2312"/>
          <w:color w:val="000000"/>
        </w:rPr>
      </w:pPr>
      <w:r>
        <w:rPr>
          <w:rFonts w:hint="eastAsia" w:ascii="黑体" w:hAnsi="黑体" w:eastAsia="黑体" w:cs="黑体"/>
          <w:color w:val="000000"/>
        </w:rPr>
        <w:t xml:space="preserve">第十五条 </w:t>
      </w:r>
      <w:r>
        <w:rPr>
          <w:rFonts w:hint="eastAsia" w:hAnsi="仿宋_GB2312" w:cs="仿宋_GB2312"/>
          <w:color w:val="000000"/>
        </w:rPr>
        <w:t xml:space="preserve"> 市重要湿地需要调整边界的，由湿地所在区市自然资源和林业主管部门向市自然资源部门提出申请，经相关专家论证，由市自然资源会同湿地保护相关部门批准调整。</w:t>
      </w:r>
    </w:p>
    <w:p>
      <w:pPr>
        <w:spacing w:line="560" w:lineRule="exact"/>
        <w:ind w:firstLine="632"/>
        <w:rPr>
          <w:rFonts w:hint="eastAsia" w:hAnsi="仿宋_GB2312" w:cs="仿宋_GB2312"/>
          <w:color w:val="000000"/>
        </w:rPr>
      </w:pPr>
      <w:r>
        <w:rPr>
          <w:rFonts w:hint="eastAsia" w:hAnsi="仿宋_GB2312" w:cs="仿宋_GB2312"/>
          <w:color w:val="000000"/>
        </w:rPr>
        <w:t>市重要湿地名录原则上每三年调整一次。</w:t>
      </w:r>
    </w:p>
    <w:p>
      <w:pPr>
        <w:spacing w:line="560" w:lineRule="exact"/>
        <w:ind w:firstLine="632"/>
        <w:rPr>
          <w:rFonts w:hint="eastAsia" w:hAnsi="仿宋_GB2312" w:cs="仿宋_GB2312"/>
          <w:color w:val="000000"/>
        </w:rPr>
      </w:pPr>
      <w:r>
        <w:rPr>
          <w:rFonts w:hint="eastAsia" w:ascii="黑体" w:hAnsi="黑体" w:eastAsia="黑体" w:cs="黑体"/>
          <w:color w:val="000000"/>
        </w:rPr>
        <w:t>第十六条</w:t>
      </w:r>
      <w:r>
        <w:rPr>
          <w:rFonts w:hint="eastAsia" w:hAnsi="仿宋_GB2312" w:cs="仿宋_GB2312"/>
          <w:color w:val="000000"/>
        </w:rPr>
        <w:t xml:space="preserve">  市重要湿地因自然原因生态功能下降，经修复仍不符合市重要湿地标准的，由湿地所在区市自然资源和林业主管部门向市自然资源部门提出申请，经相关专家论证，由市自然资源部门会同湿地保护相关部门批准撤销。</w:t>
      </w:r>
    </w:p>
    <w:p>
      <w:pPr>
        <w:spacing w:line="560" w:lineRule="exact"/>
        <w:ind w:firstLine="632"/>
        <w:rPr>
          <w:rFonts w:hint="eastAsia" w:hAnsi="仿宋_GB2312" w:cs="仿宋_GB2312"/>
          <w:color w:val="000000"/>
        </w:rPr>
      </w:pPr>
      <w:r>
        <w:rPr>
          <w:rFonts w:hint="eastAsia" w:ascii="黑体" w:hAnsi="黑体" w:eastAsia="黑体" w:cs="黑体"/>
          <w:color w:val="000000"/>
        </w:rPr>
        <w:t>第十七条</w:t>
      </w:r>
      <w:r>
        <w:rPr>
          <w:rFonts w:hint="eastAsia" w:hAnsi="仿宋_GB2312" w:cs="仿宋_GB2312"/>
          <w:color w:val="000000"/>
        </w:rPr>
        <w:t xml:space="preserve">  本办法由市自然资源和规划局负责解释。</w:t>
      </w:r>
    </w:p>
    <w:p>
      <w:pPr>
        <w:spacing w:line="560" w:lineRule="exact"/>
        <w:ind w:firstLine="632"/>
        <w:rPr>
          <w:rFonts w:hint="eastAsia" w:hAnsi="仿宋_GB2312" w:cs="仿宋_GB2312"/>
          <w:color w:val="000000"/>
        </w:rPr>
      </w:pPr>
      <w:r>
        <w:rPr>
          <w:rFonts w:hint="eastAsia" w:ascii="黑体" w:hAnsi="黑体" w:eastAsia="黑体" w:cs="黑体"/>
          <w:color w:val="000000"/>
        </w:rPr>
        <w:t>第十八条</w:t>
      </w:r>
      <w:r>
        <w:rPr>
          <w:rFonts w:hint="eastAsia" w:hAnsi="宋体"/>
          <w:color w:val="000000"/>
        </w:rPr>
        <w:t xml:space="preserve">  本办法自公布之日起实施</w:t>
      </w:r>
      <w:r>
        <w:rPr>
          <w:rFonts w:hint="eastAsia" w:hAnsi="仿宋_GB2312" w:cs="仿宋_GB2312"/>
          <w:color w:val="000000"/>
        </w:rPr>
        <w:t>。</w:t>
      </w:r>
    </w:p>
    <w:p/>
    <w:p>
      <w:pPr>
        <w:rPr>
          <w:rFonts w:hint="eastAsia" w:ascii="黑体" w:hAnsi="黑体" w:eastAsia="黑体" w:cs="黑体"/>
        </w:rPr>
      </w:pPr>
      <w:r>
        <w:rPr>
          <w:rFonts w:hint="eastAsia"/>
        </w:rPr>
        <w:br w:type="page"/>
      </w:r>
      <w:r>
        <w:rPr>
          <w:rFonts w:hint="eastAsia" w:ascii="黑体" w:hAnsi="黑体" w:eastAsia="黑体" w:cs="黑体"/>
        </w:rPr>
        <w:t xml:space="preserve">附件2                                </w:t>
      </w:r>
      <w:r>
        <w:rPr>
          <w:rFonts w:hint="eastAsia" w:ascii="黑体" w:hAnsi="黑体" w:eastAsia="黑体"/>
          <w:bCs/>
        </w:rPr>
        <w:t>编号：</w:t>
      </w:r>
    </w:p>
    <w:p>
      <w:pPr>
        <w:spacing w:line="360" w:lineRule="auto"/>
        <w:jc w:val="center"/>
        <w:rPr>
          <w:rFonts w:ascii="宋体" w:hAnsi="宋体" w:eastAsia="宋体"/>
          <w:b/>
          <w:sz w:val="52"/>
          <w:szCs w:val="52"/>
        </w:rPr>
      </w:pPr>
    </w:p>
    <w:p>
      <w:pPr>
        <w:spacing w:line="360" w:lineRule="auto"/>
        <w:jc w:val="center"/>
        <w:rPr>
          <w:rFonts w:ascii="宋体" w:hAnsi="宋体" w:eastAsia="宋体"/>
          <w:b/>
          <w:sz w:val="52"/>
          <w:szCs w:val="52"/>
        </w:rPr>
      </w:pPr>
    </w:p>
    <w:p>
      <w:pPr>
        <w:spacing w:line="360" w:lineRule="auto"/>
        <w:jc w:val="center"/>
        <w:rPr>
          <w:rFonts w:hint="eastAsia" w:ascii="方正小标宋简体" w:hAnsi="方正小标宋简体" w:eastAsia="方正小标宋简体" w:cs="方正小标宋简体"/>
          <w:bCs/>
          <w:sz w:val="60"/>
          <w:szCs w:val="60"/>
        </w:rPr>
      </w:pPr>
      <w:r>
        <w:rPr>
          <w:rFonts w:hint="eastAsia" w:ascii="方正小标宋简体" w:hAnsi="方正小标宋简体" w:eastAsia="方正小标宋简体" w:cs="方正小标宋简体"/>
          <w:bCs/>
          <w:sz w:val="60"/>
          <w:szCs w:val="60"/>
        </w:rPr>
        <w:t>烟台市重要湿地申报书</w:t>
      </w:r>
    </w:p>
    <w:p>
      <w:pPr>
        <w:spacing w:line="360" w:lineRule="auto"/>
        <w:jc w:val="center"/>
        <w:rPr>
          <w:rFonts w:ascii="宋体" w:hAnsi="宋体" w:eastAsia="宋体"/>
          <w:b/>
          <w:sz w:val="52"/>
          <w:szCs w:val="52"/>
        </w:rPr>
      </w:pPr>
    </w:p>
    <w:p>
      <w:pPr>
        <w:spacing w:line="360" w:lineRule="auto"/>
        <w:jc w:val="center"/>
        <w:rPr>
          <w:rFonts w:ascii="宋体" w:hAnsi="宋体" w:eastAsia="宋体"/>
          <w:sz w:val="52"/>
          <w:szCs w:val="52"/>
        </w:rPr>
      </w:pPr>
    </w:p>
    <w:p>
      <w:pPr>
        <w:spacing w:line="360" w:lineRule="auto"/>
        <w:jc w:val="center"/>
        <w:rPr>
          <w:rFonts w:ascii="宋体" w:hAnsi="宋体" w:eastAsia="宋体"/>
          <w:sz w:val="52"/>
          <w:szCs w:val="52"/>
        </w:rPr>
      </w:pPr>
    </w:p>
    <w:p>
      <w:pPr>
        <w:spacing w:line="360" w:lineRule="auto"/>
        <w:ind w:firstLine="712"/>
        <w:rPr>
          <w:rFonts w:hint="eastAsia" w:ascii="黑体" w:hAnsi="黑体" w:eastAsia="黑体" w:cs="黑体"/>
          <w:bCs/>
          <w:sz w:val="36"/>
          <w:szCs w:val="36"/>
          <w:u w:val="single"/>
        </w:rPr>
      </w:pPr>
      <w:r>
        <w:rPr>
          <w:rFonts w:hint="eastAsia" w:ascii="黑体" w:hAnsi="黑体" w:eastAsia="黑体" w:cs="黑体"/>
          <w:bCs/>
          <w:sz w:val="36"/>
          <w:szCs w:val="36"/>
        </w:rPr>
        <w:t>湿  地  名  称：</w:t>
      </w:r>
      <w:r>
        <w:rPr>
          <w:rFonts w:hint="eastAsia" w:ascii="黑体" w:hAnsi="黑体" w:eastAsia="黑体" w:cs="黑体"/>
          <w:bCs/>
          <w:sz w:val="36"/>
          <w:szCs w:val="36"/>
          <w:u w:val="single"/>
        </w:rPr>
        <w:t xml:space="preserve">                    </w:t>
      </w:r>
    </w:p>
    <w:p>
      <w:pPr>
        <w:spacing w:line="360" w:lineRule="auto"/>
        <w:ind w:firstLine="660"/>
        <w:rPr>
          <w:rFonts w:ascii="黑体" w:hAnsi="黑体" w:eastAsia="黑体" w:cs="黑体"/>
          <w:bCs/>
          <w:sz w:val="36"/>
          <w:szCs w:val="36"/>
          <w:u w:val="single"/>
        </w:rPr>
      </w:pPr>
    </w:p>
    <w:p>
      <w:pPr>
        <w:spacing w:line="360" w:lineRule="auto"/>
        <w:ind w:firstLine="712"/>
        <w:rPr>
          <w:rFonts w:hint="eastAsia" w:ascii="黑体" w:hAnsi="黑体" w:eastAsia="黑体" w:cs="黑体"/>
          <w:bCs/>
          <w:sz w:val="36"/>
          <w:szCs w:val="36"/>
          <w:u w:val="single"/>
        </w:rPr>
      </w:pPr>
      <w:r>
        <w:rPr>
          <w:rFonts w:hint="eastAsia" w:ascii="黑体" w:hAnsi="黑体" w:eastAsia="黑体" w:cs="黑体"/>
          <w:bCs/>
          <w:sz w:val="36"/>
          <w:szCs w:val="36"/>
        </w:rPr>
        <w:t>申报单位（盖章）：</w:t>
      </w:r>
      <w:r>
        <w:rPr>
          <w:rFonts w:hint="eastAsia" w:ascii="黑体" w:hAnsi="黑体" w:eastAsia="黑体" w:cs="黑体"/>
          <w:bCs/>
          <w:sz w:val="36"/>
          <w:szCs w:val="36"/>
          <w:u w:val="single"/>
        </w:rPr>
        <w:t xml:space="preserve">                   </w:t>
      </w:r>
    </w:p>
    <w:p>
      <w:pPr>
        <w:spacing w:line="360" w:lineRule="auto"/>
        <w:ind w:firstLine="612"/>
        <w:rPr>
          <w:rFonts w:ascii="黑体" w:hAnsi="黑体" w:eastAsia="黑体" w:cs="黑体"/>
          <w:bCs/>
          <w:sz w:val="36"/>
          <w:szCs w:val="36"/>
          <w:u w:val="single"/>
        </w:rPr>
      </w:pPr>
    </w:p>
    <w:p>
      <w:pPr>
        <w:spacing w:line="360" w:lineRule="auto"/>
        <w:ind w:firstLine="712"/>
        <w:rPr>
          <w:rFonts w:hint="eastAsia" w:ascii="黑体" w:hAnsi="黑体" w:eastAsia="黑体" w:cs="黑体"/>
          <w:bCs/>
          <w:sz w:val="36"/>
          <w:szCs w:val="36"/>
          <w:u w:val="single"/>
        </w:rPr>
      </w:pPr>
      <w:r>
        <w:rPr>
          <w:rFonts w:hint="eastAsia" w:ascii="黑体" w:hAnsi="黑体" w:eastAsia="黑体" w:cs="黑体"/>
          <w:bCs/>
          <w:sz w:val="36"/>
          <w:szCs w:val="36"/>
        </w:rPr>
        <w:t>申  报  时  间：</w:t>
      </w:r>
      <w:r>
        <w:rPr>
          <w:rFonts w:hint="eastAsia" w:ascii="黑体" w:hAnsi="黑体" w:eastAsia="黑体" w:cs="黑体"/>
          <w:bCs/>
          <w:sz w:val="36"/>
          <w:szCs w:val="36"/>
          <w:u w:val="single"/>
        </w:rPr>
        <w:t xml:space="preserve">                    </w:t>
      </w:r>
    </w:p>
    <w:p>
      <w:pPr>
        <w:spacing w:line="560" w:lineRule="exact"/>
        <w:ind w:firstLine="875"/>
        <w:rPr>
          <w:rFonts w:hint="eastAsia" w:hAnsi="宋体"/>
          <w:b/>
          <w:sz w:val="44"/>
          <w:szCs w:val="44"/>
          <w:u w:val="single"/>
        </w:rPr>
      </w:pPr>
      <w:r>
        <w:rPr>
          <w:rFonts w:hint="eastAsia" w:ascii="宋体" w:hAnsi="宋体" w:eastAsia="宋体"/>
          <w:b/>
          <w:sz w:val="44"/>
          <w:szCs w:val="44"/>
          <w:u w:val="single"/>
        </w:rPr>
        <w:br w:type="page"/>
      </w:r>
    </w:p>
    <w:p>
      <w:pPr>
        <w:spacing w:line="56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说    明</w:t>
      </w:r>
    </w:p>
    <w:p>
      <w:pPr>
        <w:spacing w:line="560" w:lineRule="exact"/>
        <w:ind w:firstLine="634"/>
        <w:rPr>
          <w:rFonts w:hAnsi="宋体"/>
          <w:b/>
        </w:rPr>
      </w:pPr>
    </w:p>
    <w:p>
      <w:pPr>
        <w:spacing w:line="560" w:lineRule="exact"/>
        <w:ind w:firstLine="632"/>
        <w:rPr>
          <w:rFonts w:hint="eastAsia" w:hAnsi="宋体"/>
        </w:rPr>
      </w:pPr>
      <w:r>
        <w:rPr>
          <w:rFonts w:hint="eastAsia" w:hAnsi="宋体"/>
        </w:rPr>
        <w:t>一、申报书由烟台市自然资源和规划局统一编号。</w:t>
      </w:r>
    </w:p>
    <w:p>
      <w:pPr>
        <w:spacing w:line="560" w:lineRule="exact"/>
        <w:ind w:firstLine="632"/>
        <w:rPr>
          <w:rFonts w:hint="eastAsia" w:hAnsi="宋体"/>
        </w:rPr>
      </w:pPr>
      <w:r>
        <w:rPr>
          <w:rFonts w:hint="eastAsia" w:hAnsi="宋体"/>
        </w:rPr>
        <w:t>二、申报单位为湿地所在区市自然资源和林业主管部门。</w:t>
      </w:r>
    </w:p>
    <w:p>
      <w:pPr>
        <w:spacing w:line="560" w:lineRule="exact"/>
        <w:ind w:firstLine="632"/>
        <w:rPr>
          <w:rFonts w:hint="eastAsia" w:hAnsi="宋体"/>
        </w:rPr>
      </w:pPr>
      <w:r>
        <w:rPr>
          <w:rFonts w:hint="eastAsia" w:hAnsi="宋体"/>
        </w:rPr>
        <w:t>三、申报书必须如实填写,严禁弄虚作假。</w:t>
      </w:r>
    </w:p>
    <w:p>
      <w:pPr>
        <w:spacing w:line="560" w:lineRule="exact"/>
        <w:ind w:firstLine="632"/>
        <w:rPr>
          <w:rFonts w:hint="eastAsia" w:hAnsi="宋体"/>
        </w:rPr>
      </w:pPr>
      <w:r>
        <w:rPr>
          <w:rFonts w:hint="eastAsia" w:hAnsi="宋体"/>
        </w:rPr>
        <w:t>四、申报书的格式和内容不得随意改变。如填写内容较多，可另加附页。</w:t>
      </w:r>
    </w:p>
    <w:p>
      <w:pPr>
        <w:spacing w:line="560" w:lineRule="exact"/>
        <w:ind w:firstLine="632"/>
        <w:rPr>
          <w:rFonts w:hint="eastAsia" w:hAnsi="宋体"/>
        </w:rPr>
      </w:pPr>
      <w:r>
        <w:rPr>
          <w:rFonts w:hint="eastAsia" w:hAnsi="宋体"/>
        </w:rPr>
        <w:t>五、申报书、范围图、湿地类型分布图（矢量图，统一使用大地2000坐标系，参照第三次全国国土调查数据要求），须提供一式两份纸质文件，同时提交电子版。其中申报书用A4纸双面印制；范围矢量图、湿地类型分布图用A4或A3纸彩色单面印制。</w:t>
      </w:r>
    </w:p>
    <w:p>
      <w:pPr>
        <w:spacing w:line="560" w:lineRule="exact"/>
        <w:ind w:firstLine="632"/>
        <w:rPr>
          <w:rFonts w:hint="eastAsia" w:hAnsi="宋体"/>
        </w:rPr>
      </w:pPr>
      <w:r>
        <w:rPr>
          <w:rFonts w:hint="eastAsia" w:hAnsi="宋体"/>
        </w:rPr>
        <w:t>六、申报书的内容和填报要求，由烟台市自然资源和规划局负责解释。</w:t>
      </w:r>
    </w:p>
    <w:p>
      <w:pPr>
        <w:spacing w:line="360" w:lineRule="auto"/>
        <w:rPr>
          <w:rFonts w:hint="eastAsia" w:ascii="Times New Roman"/>
        </w:rPr>
      </w:pPr>
      <w:r>
        <w:rPr>
          <w:rFonts w:hint="eastAsia" w:ascii="Times New Roman"/>
        </w:rPr>
        <w:br w:type="page"/>
      </w:r>
    </w:p>
    <w:tbl>
      <w:tblPr>
        <w:tblStyle w:val="76"/>
        <w:tblW w:w="90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76"/>
        <w:gridCol w:w="1808"/>
        <w:gridCol w:w="2412"/>
        <w:gridCol w:w="24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2376" w:type="dxa"/>
            <w:vAlign w:val="center"/>
          </w:tcPr>
          <w:p>
            <w:pPr>
              <w:jc w:val="center"/>
              <w:rPr>
                <w:rFonts w:hint="eastAsia" w:ascii="黑体" w:hAnsi="黑体" w:eastAsia="黑体" w:cs="黑体"/>
                <w:sz w:val="28"/>
                <w:szCs w:val="28"/>
              </w:rPr>
            </w:pPr>
            <w:r>
              <w:rPr>
                <w:rFonts w:hint="eastAsia" w:ascii="黑体" w:hAnsi="黑体" w:eastAsia="黑体" w:cs="黑体"/>
                <w:sz w:val="28"/>
                <w:szCs w:val="28"/>
              </w:rPr>
              <w:t>湿地名称</w:t>
            </w:r>
          </w:p>
        </w:tc>
        <w:tc>
          <w:tcPr>
            <w:tcW w:w="6684" w:type="dxa"/>
            <w:gridSpan w:val="3"/>
            <w:vAlign w:val="center"/>
          </w:tcPr>
          <w:p>
            <w:pPr>
              <w:rPr>
                <w:rFonts w:hint="eastAsia" w:hAnsi="宋体"/>
                <w:sz w:val="28"/>
                <w:szCs w:val="28"/>
              </w:rPr>
            </w:pPr>
            <w:r>
              <w:rPr>
                <w:rFonts w:hint="eastAsia" w:hAnsi="宋体"/>
                <w:sz w:val="28"/>
                <w:szCs w:val="28"/>
              </w:rPr>
              <w:t>烟台市+湿地名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2376" w:type="dxa"/>
            <w:vAlign w:val="center"/>
          </w:tcPr>
          <w:p>
            <w:pPr>
              <w:jc w:val="center"/>
              <w:rPr>
                <w:rFonts w:hint="eastAsia" w:ascii="黑体" w:hAnsi="黑体" w:eastAsia="黑体" w:cs="黑体"/>
                <w:sz w:val="28"/>
                <w:szCs w:val="28"/>
              </w:rPr>
            </w:pPr>
            <w:r>
              <w:rPr>
                <w:rFonts w:hint="eastAsia" w:ascii="黑体" w:hAnsi="黑体" w:eastAsia="黑体" w:cs="黑体"/>
                <w:sz w:val="28"/>
                <w:szCs w:val="28"/>
              </w:rPr>
              <w:t>行政区域</w:t>
            </w:r>
          </w:p>
        </w:tc>
        <w:tc>
          <w:tcPr>
            <w:tcW w:w="6684" w:type="dxa"/>
            <w:gridSpan w:val="3"/>
            <w:vAlign w:val="center"/>
          </w:tcPr>
          <w:p>
            <w:pPr>
              <w:rPr>
                <w:rFonts w:hint="eastAsia" w:hAnsi="宋体"/>
                <w:sz w:val="28"/>
                <w:szCs w:val="28"/>
              </w:rPr>
            </w:pPr>
            <w:r>
              <w:rPr>
                <w:rFonts w:hint="eastAsia" w:hAnsi="宋体"/>
                <w:sz w:val="28"/>
                <w:szCs w:val="28"/>
              </w:rPr>
              <w:t>指湿地所在的区市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2376" w:type="dxa"/>
            <w:vAlign w:val="center"/>
          </w:tcPr>
          <w:p>
            <w:pPr>
              <w:jc w:val="center"/>
              <w:rPr>
                <w:rFonts w:hint="eastAsia" w:ascii="黑体" w:hAnsi="黑体" w:eastAsia="黑体" w:cs="黑体"/>
                <w:sz w:val="28"/>
                <w:szCs w:val="28"/>
              </w:rPr>
            </w:pPr>
            <w:r>
              <w:rPr>
                <w:rFonts w:hint="eastAsia" w:ascii="黑体" w:hAnsi="黑体" w:eastAsia="黑体" w:cs="黑体"/>
                <w:sz w:val="28"/>
                <w:szCs w:val="28"/>
              </w:rPr>
              <w:t>地理坐标</w:t>
            </w:r>
          </w:p>
        </w:tc>
        <w:tc>
          <w:tcPr>
            <w:tcW w:w="6684" w:type="dxa"/>
            <w:gridSpan w:val="3"/>
            <w:vAlign w:val="center"/>
          </w:tcPr>
          <w:p>
            <w:pPr>
              <w:rPr>
                <w:rFonts w:hint="eastAsia" w:hAnsi="宋体"/>
                <w:sz w:val="28"/>
                <w:szCs w:val="28"/>
              </w:rPr>
            </w:pPr>
            <w:r>
              <w:rPr>
                <w:rFonts w:hint="eastAsia" w:hAnsi="宋体"/>
                <w:sz w:val="28"/>
                <w:szCs w:val="28"/>
              </w:rPr>
              <w:t>指重要湿地所跨的经纬度范围，以度分秒的形式标识，度、分取整数，秒保留两位小数。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2376" w:type="dxa"/>
            <w:vAlign w:val="center"/>
          </w:tcPr>
          <w:p>
            <w:pPr>
              <w:jc w:val="center"/>
              <w:rPr>
                <w:rFonts w:hint="eastAsia" w:ascii="黑体" w:hAnsi="黑体" w:eastAsia="黑体" w:cs="黑体"/>
                <w:sz w:val="28"/>
                <w:szCs w:val="28"/>
              </w:rPr>
            </w:pPr>
            <w:r>
              <w:rPr>
                <w:rFonts w:hint="eastAsia" w:ascii="黑体" w:hAnsi="黑体" w:eastAsia="黑体" w:cs="黑体"/>
                <w:sz w:val="28"/>
                <w:szCs w:val="28"/>
              </w:rPr>
              <w:t>四至范围</w:t>
            </w:r>
          </w:p>
        </w:tc>
        <w:tc>
          <w:tcPr>
            <w:tcW w:w="6684" w:type="dxa"/>
            <w:gridSpan w:val="3"/>
            <w:vAlign w:val="center"/>
          </w:tcPr>
          <w:p>
            <w:pPr>
              <w:rPr>
                <w:rFonts w:hint="eastAsia" w:hAnsi="宋体"/>
                <w:sz w:val="28"/>
                <w:szCs w:val="28"/>
              </w:rPr>
            </w:pPr>
            <w:r>
              <w:rPr>
                <w:rFonts w:hint="eastAsia" w:hAnsi="宋体"/>
                <w:sz w:val="28"/>
                <w:szCs w:val="28"/>
              </w:rPr>
              <w:t>根据行政区界、自然保护地功能区界、地名、水位线、交通线路或者拐角点坐标等，对重要湿地的范围和四至界线进行准确、简要的文字描述。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2376" w:type="dxa"/>
            <w:vMerge w:val="restart"/>
            <w:vAlign w:val="center"/>
          </w:tcPr>
          <w:p>
            <w:pPr>
              <w:jc w:val="center"/>
              <w:rPr>
                <w:rFonts w:hint="eastAsia" w:ascii="黑体" w:hAnsi="黑体" w:eastAsia="黑体" w:cs="黑体"/>
                <w:sz w:val="28"/>
                <w:szCs w:val="28"/>
              </w:rPr>
            </w:pPr>
            <w:r>
              <w:rPr>
                <w:rFonts w:hint="eastAsia" w:ascii="黑体" w:hAnsi="黑体" w:eastAsia="黑体" w:cs="黑体"/>
                <w:sz w:val="28"/>
                <w:szCs w:val="28"/>
              </w:rPr>
              <w:t>面积（公顷）</w:t>
            </w:r>
          </w:p>
        </w:tc>
        <w:tc>
          <w:tcPr>
            <w:tcW w:w="1808" w:type="dxa"/>
            <w:vAlign w:val="center"/>
          </w:tcPr>
          <w:p>
            <w:pPr>
              <w:jc w:val="center"/>
              <w:rPr>
                <w:rFonts w:hint="eastAsia" w:ascii="楷体_GB2312" w:hAnsi="楷体_GB2312" w:eastAsia="楷体_GB2312" w:cs="楷体_GB2312"/>
                <w:bCs/>
                <w:sz w:val="28"/>
                <w:szCs w:val="28"/>
              </w:rPr>
            </w:pPr>
            <w:r>
              <w:rPr>
                <w:rFonts w:hint="eastAsia" w:ascii="楷体_GB2312" w:hAnsi="楷体_GB2312" w:eastAsia="楷体_GB2312" w:cs="楷体_GB2312"/>
                <w:bCs/>
                <w:sz w:val="28"/>
                <w:szCs w:val="28"/>
              </w:rPr>
              <w:t>总面积</w:t>
            </w:r>
          </w:p>
        </w:tc>
        <w:tc>
          <w:tcPr>
            <w:tcW w:w="4876" w:type="dxa"/>
            <w:gridSpan w:val="2"/>
            <w:vAlign w:val="center"/>
          </w:tcPr>
          <w:p>
            <w:pPr>
              <w:rPr>
                <w:rFonts w:hint="eastAsia" w:hAnsi="宋体"/>
                <w:sz w:val="28"/>
                <w:szCs w:val="28"/>
              </w:rPr>
            </w:pPr>
            <w:r>
              <w:rPr>
                <w:rFonts w:hint="eastAsia" w:hAnsi="宋体"/>
                <w:sz w:val="28"/>
                <w:szCs w:val="28"/>
              </w:rPr>
              <w:t>（保留两位小数）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2376" w:type="dxa"/>
            <w:vMerge w:val="continue"/>
          </w:tcPr>
          <w:p>
            <w:pPr>
              <w:rPr>
                <w:rFonts w:ascii="黑体" w:hAnsi="黑体" w:eastAsia="黑体" w:cs="黑体"/>
                <w:sz w:val="28"/>
                <w:szCs w:val="28"/>
              </w:rPr>
            </w:pPr>
          </w:p>
        </w:tc>
        <w:tc>
          <w:tcPr>
            <w:tcW w:w="1808" w:type="dxa"/>
            <w:vMerge w:val="restart"/>
            <w:vAlign w:val="center"/>
          </w:tcPr>
          <w:p>
            <w:pPr>
              <w:jc w:val="center"/>
              <w:rPr>
                <w:rFonts w:hint="eastAsia" w:ascii="楷体_GB2312" w:hAnsi="楷体_GB2312" w:eastAsia="楷体_GB2312" w:cs="楷体_GB2312"/>
                <w:bCs/>
                <w:sz w:val="28"/>
                <w:szCs w:val="28"/>
              </w:rPr>
            </w:pPr>
            <w:r>
              <w:rPr>
                <w:rFonts w:hint="eastAsia" w:ascii="楷体_GB2312" w:hAnsi="楷体_GB2312" w:eastAsia="楷体_GB2312" w:cs="楷体_GB2312"/>
                <w:bCs/>
                <w:sz w:val="28"/>
                <w:szCs w:val="28"/>
              </w:rPr>
              <w:t>湿地面积</w:t>
            </w:r>
          </w:p>
        </w:tc>
        <w:tc>
          <w:tcPr>
            <w:tcW w:w="2412" w:type="dxa"/>
            <w:tcBorders>
              <w:bottom w:val="single" w:color="auto" w:sz="4" w:space="0"/>
              <w:right w:val="single" w:color="auto" w:sz="4" w:space="0"/>
            </w:tcBorders>
            <w:vAlign w:val="center"/>
          </w:tcPr>
          <w:p>
            <w:pPr>
              <w:rPr>
                <w:rFonts w:hint="eastAsia" w:hAnsi="宋体"/>
                <w:sz w:val="28"/>
                <w:szCs w:val="28"/>
              </w:rPr>
            </w:pPr>
            <w:r>
              <w:rPr>
                <w:rFonts w:hint="eastAsia" w:hAnsi="宋体"/>
                <w:sz w:val="28"/>
                <w:szCs w:val="28"/>
              </w:rPr>
              <w:t>近海与海岸湿地</w:t>
            </w:r>
          </w:p>
        </w:tc>
        <w:tc>
          <w:tcPr>
            <w:tcW w:w="2464" w:type="dxa"/>
            <w:tcBorders>
              <w:left w:val="single" w:color="auto" w:sz="4" w:space="0"/>
              <w:bottom w:val="single" w:color="auto" w:sz="4" w:space="0"/>
            </w:tcBorders>
            <w:vAlign w:val="center"/>
          </w:tcPr>
          <w:p>
            <w:pPr>
              <w:rPr>
                <w:rFonts w:hint="eastAsia" w:hAnsi="宋体"/>
                <w:sz w:val="28"/>
                <w:szCs w:val="28"/>
              </w:rPr>
            </w:pPr>
            <w:r>
              <w:rPr>
                <w:rFonts w:hint="eastAsia" w:hAnsi="宋体"/>
                <w:sz w:val="28"/>
                <w:szCs w:val="28"/>
              </w:rPr>
              <w:t>（保留两位小数）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2376" w:type="dxa"/>
            <w:vMerge w:val="continue"/>
          </w:tcPr>
          <w:p>
            <w:pPr>
              <w:rPr>
                <w:rFonts w:ascii="黑体" w:hAnsi="黑体" w:eastAsia="黑体" w:cs="黑体"/>
                <w:sz w:val="28"/>
                <w:szCs w:val="28"/>
              </w:rPr>
            </w:pPr>
          </w:p>
        </w:tc>
        <w:tc>
          <w:tcPr>
            <w:tcW w:w="1808" w:type="dxa"/>
            <w:vMerge w:val="continue"/>
            <w:vAlign w:val="center"/>
          </w:tcPr>
          <w:p>
            <w:pPr>
              <w:jc w:val="center"/>
              <w:rPr>
                <w:rFonts w:ascii="宋体" w:hAnsi="宋体" w:eastAsia="宋体"/>
                <w:b/>
                <w:sz w:val="28"/>
                <w:szCs w:val="28"/>
              </w:rPr>
            </w:pPr>
          </w:p>
        </w:tc>
        <w:tc>
          <w:tcPr>
            <w:tcW w:w="2412" w:type="dxa"/>
            <w:tcBorders>
              <w:top w:val="single" w:color="auto" w:sz="4" w:space="0"/>
              <w:bottom w:val="single" w:color="auto" w:sz="4" w:space="0"/>
              <w:right w:val="single" w:color="auto" w:sz="4" w:space="0"/>
            </w:tcBorders>
            <w:vAlign w:val="center"/>
          </w:tcPr>
          <w:p>
            <w:pPr>
              <w:rPr>
                <w:rFonts w:hint="eastAsia" w:hAnsi="宋体"/>
                <w:sz w:val="28"/>
                <w:szCs w:val="28"/>
              </w:rPr>
            </w:pPr>
            <w:r>
              <w:rPr>
                <w:rFonts w:hint="eastAsia" w:hAnsi="宋体"/>
                <w:sz w:val="28"/>
                <w:szCs w:val="28"/>
              </w:rPr>
              <w:t>河流湿地</w:t>
            </w:r>
          </w:p>
        </w:tc>
        <w:tc>
          <w:tcPr>
            <w:tcW w:w="2464" w:type="dxa"/>
            <w:tcBorders>
              <w:top w:val="single" w:color="auto" w:sz="4" w:space="0"/>
              <w:left w:val="single" w:color="auto" w:sz="4" w:space="0"/>
              <w:bottom w:val="single" w:color="auto" w:sz="4" w:space="0"/>
            </w:tcBorders>
            <w:vAlign w:val="center"/>
          </w:tcPr>
          <w:p>
            <w:pPr>
              <w:rPr>
                <w:rFonts w:hint="eastAsia" w:hAnsi="宋体"/>
                <w:sz w:val="28"/>
                <w:szCs w:val="28"/>
              </w:rPr>
            </w:pPr>
            <w:r>
              <w:rPr>
                <w:rFonts w:hint="eastAsia" w:hAnsi="宋体"/>
                <w:sz w:val="28"/>
                <w:szCs w:val="28"/>
              </w:rPr>
              <w:t>（保留两位小数）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2376" w:type="dxa"/>
            <w:vMerge w:val="continue"/>
          </w:tcPr>
          <w:p>
            <w:pPr>
              <w:rPr>
                <w:rFonts w:ascii="黑体" w:hAnsi="黑体" w:eastAsia="黑体" w:cs="黑体"/>
                <w:sz w:val="28"/>
                <w:szCs w:val="28"/>
              </w:rPr>
            </w:pPr>
          </w:p>
        </w:tc>
        <w:tc>
          <w:tcPr>
            <w:tcW w:w="1808" w:type="dxa"/>
            <w:vMerge w:val="continue"/>
            <w:vAlign w:val="center"/>
          </w:tcPr>
          <w:p>
            <w:pPr>
              <w:jc w:val="center"/>
              <w:rPr>
                <w:rFonts w:ascii="宋体" w:hAnsi="宋体" w:eastAsia="宋体"/>
                <w:b/>
                <w:sz w:val="28"/>
                <w:szCs w:val="28"/>
              </w:rPr>
            </w:pPr>
          </w:p>
        </w:tc>
        <w:tc>
          <w:tcPr>
            <w:tcW w:w="2412" w:type="dxa"/>
            <w:tcBorders>
              <w:top w:val="single" w:color="auto" w:sz="4" w:space="0"/>
              <w:bottom w:val="single" w:color="auto" w:sz="4" w:space="0"/>
              <w:right w:val="single" w:color="auto" w:sz="4" w:space="0"/>
            </w:tcBorders>
            <w:vAlign w:val="center"/>
          </w:tcPr>
          <w:p>
            <w:pPr>
              <w:rPr>
                <w:rFonts w:hint="eastAsia" w:hAnsi="宋体"/>
                <w:sz w:val="28"/>
                <w:szCs w:val="28"/>
              </w:rPr>
            </w:pPr>
            <w:r>
              <w:rPr>
                <w:rFonts w:hint="eastAsia" w:hAnsi="宋体"/>
                <w:sz w:val="28"/>
                <w:szCs w:val="28"/>
              </w:rPr>
              <w:t>湖泊湿地</w:t>
            </w:r>
          </w:p>
        </w:tc>
        <w:tc>
          <w:tcPr>
            <w:tcW w:w="2464" w:type="dxa"/>
            <w:tcBorders>
              <w:top w:val="single" w:color="auto" w:sz="4" w:space="0"/>
              <w:left w:val="single" w:color="auto" w:sz="4" w:space="0"/>
              <w:bottom w:val="single" w:color="auto" w:sz="4" w:space="0"/>
            </w:tcBorders>
            <w:vAlign w:val="center"/>
          </w:tcPr>
          <w:p>
            <w:pPr>
              <w:rPr>
                <w:rFonts w:hint="eastAsia" w:hAnsi="宋体"/>
                <w:sz w:val="28"/>
                <w:szCs w:val="28"/>
              </w:rPr>
            </w:pPr>
            <w:r>
              <w:rPr>
                <w:rFonts w:hint="eastAsia" w:hAnsi="宋体"/>
                <w:sz w:val="28"/>
                <w:szCs w:val="28"/>
              </w:rPr>
              <w:t>（保留两位小数）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2376" w:type="dxa"/>
            <w:vMerge w:val="continue"/>
          </w:tcPr>
          <w:p>
            <w:pPr>
              <w:rPr>
                <w:rFonts w:ascii="黑体" w:hAnsi="黑体" w:eastAsia="黑体" w:cs="黑体"/>
                <w:sz w:val="28"/>
                <w:szCs w:val="28"/>
              </w:rPr>
            </w:pPr>
          </w:p>
        </w:tc>
        <w:tc>
          <w:tcPr>
            <w:tcW w:w="1808" w:type="dxa"/>
            <w:vMerge w:val="continue"/>
            <w:vAlign w:val="center"/>
          </w:tcPr>
          <w:p>
            <w:pPr>
              <w:jc w:val="center"/>
              <w:rPr>
                <w:rFonts w:ascii="宋体" w:hAnsi="宋体" w:eastAsia="宋体"/>
                <w:b/>
                <w:sz w:val="28"/>
                <w:szCs w:val="28"/>
              </w:rPr>
            </w:pPr>
          </w:p>
        </w:tc>
        <w:tc>
          <w:tcPr>
            <w:tcW w:w="2412" w:type="dxa"/>
            <w:tcBorders>
              <w:top w:val="single" w:color="auto" w:sz="4" w:space="0"/>
              <w:bottom w:val="single" w:color="auto" w:sz="4" w:space="0"/>
              <w:right w:val="single" w:color="auto" w:sz="4" w:space="0"/>
            </w:tcBorders>
            <w:vAlign w:val="center"/>
          </w:tcPr>
          <w:p>
            <w:pPr>
              <w:rPr>
                <w:rFonts w:hint="eastAsia" w:hAnsi="宋体"/>
                <w:sz w:val="28"/>
                <w:szCs w:val="28"/>
              </w:rPr>
            </w:pPr>
            <w:r>
              <w:rPr>
                <w:rFonts w:hint="eastAsia" w:hAnsi="宋体"/>
                <w:sz w:val="28"/>
                <w:szCs w:val="28"/>
              </w:rPr>
              <w:t>沼泽湿地</w:t>
            </w:r>
          </w:p>
        </w:tc>
        <w:tc>
          <w:tcPr>
            <w:tcW w:w="2464" w:type="dxa"/>
            <w:tcBorders>
              <w:top w:val="single" w:color="auto" w:sz="4" w:space="0"/>
              <w:left w:val="single" w:color="auto" w:sz="4" w:space="0"/>
              <w:bottom w:val="single" w:color="auto" w:sz="4" w:space="0"/>
            </w:tcBorders>
            <w:vAlign w:val="center"/>
          </w:tcPr>
          <w:p>
            <w:pPr>
              <w:rPr>
                <w:rFonts w:hint="eastAsia" w:hAnsi="宋体"/>
                <w:sz w:val="28"/>
                <w:szCs w:val="28"/>
              </w:rPr>
            </w:pPr>
            <w:r>
              <w:rPr>
                <w:rFonts w:hint="eastAsia" w:hAnsi="宋体"/>
                <w:sz w:val="28"/>
                <w:szCs w:val="28"/>
              </w:rPr>
              <w:t>（保留两位小数）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2376" w:type="dxa"/>
            <w:vMerge w:val="continue"/>
          </w:tcPr>
          <w:p>
            <w:pPr>
              <w:rPr>
                <w:rFonts w:ascii="黑体" w:hAnsi="黑体" w:eastAsia="黑体" w:cs="黑体"/>
                <w:sz w:val="28"/>
                <w:szCs w:val="28"/>
              </w:rPr>
            </w:pPr>
          </w:p>
        </w:tc>
        <w:tc>
          <w:tcPr>
            <w:tcW w:w="1808" w:type="dxa"/>
            <w:vMerge w:val="continue"/>
            <w:vAlign w:val="center"/>
          </w:tcPr>
          <w:p>
            <w:pPr>
              <w:jc w:val="center"/>
              <w:rPr>
                <w:rFonts w:ascii="宋体" w:hAnsi="宋体" w:eastAsia="宋体"/>
                <w:b/>
                <w:sz w:val="28"/>
                <w:szCs w:val="28"/>
              </w:rPr>
            </w:pPr>
          </w:p>
        </w:tc>
        <w:tc>
          <w:tcPr>
            <w:tcW w:w="2412" w:type="dxa"/>
            <w:tcBorders>
              <w:top w:val="single" w:color="auto" w:sz="4" w:space="0"/>
              <w:right w:val="single" w:color="auto" w:sz="4" w:space="0"/>
            </w:tcBorders>
            <w:vAlign w:val="center"/>
          </w:tcPr>
          <w:p>
            <w:pPr>
              <w:rPr>
                <w:rFonts w:hint="eastAsia" w:hAnsi="宋体"/>
                <w:sz w:val="28"/>
                <w:szCs w:val="28"/>
              </w:rPr>
            </w:pPr>
            <w:r>
              <w:rPr>
                <w:rFonts w:hint="eastAsia" w:hAnsi="宋体"/>
                <w:sz w:val="28"/>
                <w:szCs w:val="28"/>
              </w:rPr>
              <w:t>人工湿地</w:t>
            </w:r>
          </w:p>
        </w:tc>
        <w:tc>
          <w:tcPr>
            <w:tcW w:w="2464" w:type="dxa"/>
            <w:tcBorders>
              <w:top w:val="single" w:color="auto" w:sz="4" w:space="0"/>
              <w:left w:val="single" w:color="auto" w:sz="4" w:space="0"/>
            </w:tcBorders>
            <w:vAlign w:val="center"/>
          </w:tcPr>
          <w:p>
            <w:pPr>
              <w:rPr>
                <w:rFonts w:hint="eastAsia" w:hAnsi="宋体"/>
                <w:sz w:val="28"/>
                <w:szCs w:val="28"/>
              </w:rPr>
            </w:pPr>
            <w:r>
              <w:rPr>
                <w:rFonts w:hint="eastAsia" w:hAnsi="宋体"/>
                <w:sz w:val="28"/>
                <w:szCs w:val="28"/>
              </w:rPr>
              <w:t>（保留两位小数）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2376" w:type="dxa"/>
            <w:vMerge w:val="continue"/>
          </w:tcPr>
          <w:p>
            <w:pPr>
              <w:rPr>
                <w:rFonts w:ascii="黑体" w:hAnsi="黑体" w:eastAsia="黑体" w:cs="黑体"/>
                <w:sz w:val="28"/>
                <w:szCs w:val="28"/>
              </w:rPr>
            </w:pPr>
          </w:p>
        </w:tc>
        <w:tc>
          <w:tcPr>
            <w:tcW w:w="1808" w:type="dxa"/>
            <w:vMerge w:val="continue"/>
            <w:vAlign w:val="center"/>
          </w:tcPr>
          <w:p>
            <w:pPr>
              <w:jc w:val="center"/>
              <w:rPr>
                <w:rFonts w:ascii="宋体" w:hAnsi="宋体" w:eastAsia="宋体"/>
                <w:b/>
                <w:sz w:val="28"/>
                <w:szCs w:val="28"/>
              </w:rPr>
            </w:pPr>
          </w:p>
        </w:tc>
        <w:tc>
          <w:tcPr>
            <w:tcW w:w="2412" w:type="dxa"/>
            <w:tcBorders>
              <w:top w:val="single" w:color="auto" w:sz="4" w:space="0"/>
              <w:right w:val="single" w:color="auto" w:sz="4" w:space="0"/>
            </w:tcBorders>
            <w:vAlign w:val="center"/>
          </w:tcPr>
          <w:p>
            <w:pPr>
              <w:rPr>
                <w:rFonts w:hint="eastAsia" w:hAnsi="宋体"/>
                <w:sz w:val="28"/>
                <w:szCs w:val="28"/>
              </w:rPr>
            </w:pPr>
            <w:r>
              <w:rPr>
                <w:rFonts w:hint="eastAsia" w:hAnsi="宋体"/>
                <w:sz w:val="28"/>
                <w:szCs w:val="28"/>
              </w:rPr>
              <w:t>合计</w:t>
            </w:r>
          </w:p>
        </w:tc>
        <w:tc>
          <w:tcPr>
            <w:tcW w:w="2464" w:type="dxa"/>
            <w:tcBorders>
              <w:top w:val="single" w:color="auto" w:sz="4" w:space="0"/>
              <w:left w:val="single" w:color="auto" w:sz="4" w:space="0"/>
            </w:tcBorders>
            <w:vAlign w:val="center"/>
          </w:tcPr>
          <w:p>
            <w:pPr>
              <w:rPr>
                <w:rFonts w:hint="eastAsia" w:hAnsi="宋体"/>
                <w:sz w:val="28"/>
                <w:szCs w:val="28"/>
              </w:rPr>
            </w:pPr>
            <w:r>
              <w:rPr>
                <w:rFonts w:hint="eastAsia" w:hAnsi="宋体"/>
                <w:sz w:val="28"/>
                <w:szCs w:val="28"/>
              </w:rPr>
              <w:t>（保留两位小数）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2376" w:type="dxa"/>
            <w:vAlign w:val="center"/>
          </w:tcPr>
          <w:p>
            <w:pPr>
              <w:jc w:val="center"/>
              <w:rPr>
                <w:rFonts w:hint="eastAsia" w:ascii="黑体" w:hAnsi="黑体" w:eastAsia="黑体" w:cs="黑体"/>
                <w:sz w:val="28"/>
                <w:szCs w:val="28"/>
              </w:rPr>
            </w:pPr>
            <w:r>
              <w:rPr>
                <w:rFonts w:hint="eastAsia" w:ascii="黑体" w:hAnsi="黑体" w:eastAsia="黑体" w:cs="黑体"/>
                <w:sz w:val="28"/>
                <w:szCs w:val="28"/>
              </w:rPr>
              <w:t>湿地类型</w:t>
            </w:r>
          </w:p>
        </w:tc>
        <w:tc>
          <w:tcPr>
            <w:tcW w:w="6684" w:type="dxa"/>
            <w:gridSpan w:val="3"/>
          </w:tcPr>
          <w:p>
            <w:pPr>
              <w:rPr>
                <w:rFonts w:hint="eastAsia" w:hAnsi="宋体"/>
                <w:sz w:val="28"/>
                <w:szCs w:val="28"/>
              </w:rPr>
            </w:pPr>
            <w:r>
              <w:rPr>
                <w:rFonts w:hint="eastAsia" w:hAnsi="宋体"/>
                <w:sz w:val="28"/>
                <w:szCs w:val="28"/>
              </w:rPr>
              <w:t>（按照《全国湿地资源调查技术规程》的湿地分类系统划分湿地类型）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2376" w:type="dxa"/>
            <w:vAlign w:val="center"/>
          </w:tcPr>
          <w:p>
            <w:pPr>
              <w:jc w:val="center"/>
              <w:rPr>
                <w:rFonts w:hint="eastAsia" w:ascii="黑体" w:hAnsi="黑体" w:eastAsia="黑体" w:cs="黑体"/>
                <w:sz w:val="28"/>
                <w:szCs w:val="28"/>
              </w:rPr>
            </w:pPr>
            <w:r>
              <w:rPr>
                <w:rFonts w:hint="eastAsia" w:ascii="黑体" w:hAnsi="黑体" w:eastAsia="黑体" w:cs="黑体"/>
                <w:sz w:val="28"/>
                <w:szCs w:val="28"/>
              </w:rPr>
              <w:t>保护方式</w:t>
            </w:r>
          </w:p>
        </w:tc>
        <w:tc>
          <w:tcPr>
            <w:tcW w:w="6684" w:type="dxa"/>
            <w:gridSpan w:val="3"/>
            <w:vAlign w:val="bottom"/>
          </w:tcPr>
          <w:p>
            <w:pPr>
              <w:rPr>
                <w:rFonts w:hint="eastAsia" w:hAnsi="宋体"/>
                <w:sz w:val="28"/>
                <w:szCs w:val="28"/>
              </w:rPr>
            </w:pPr>
            <w:r>
              <w:rPr>
                <w:rFonts w:hint="eastAsia" w:hAnsi="宋体"/>
                <w:sz w:val="28"/>
                <w:szCs w:val="28"/>
              </w:rPr>
              <w:t>（已属国家公园、自然保护区、湿地公园、森林公园、风景名胜区、水利风景区、自然保护小区、水源保护区、海洋特别保护区（海洋公园）、水产种质资源保护区、饮用水源地保护区的，填写政府或主管部门批复的保护方式；其他填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2376" w:type="dxa"/>
            <w:vAlign w:val="center"/>
          </w:tcPr>
          <w:p>
            <w:pPr>
              <w:jc w:val="center"/>
              <w:rPr>
                <w:rFonts w:hint="eastAsia" w:ascii="黑体" w:hAnsi="黑体" w:eastAsia="黑体" w:cs="黑体"/>
                <w:sz w:val="28"/>
                <w:szCs w:val="28"/>
              </w:rPr>
            </w:pPr>
            <w:r>
              <w:rPr>
                <w:rFonts w:hint="eastAsia" w:ascii="黑体" w:hAnsi="黑体" w:eastAsia="黑体" w:cs="黑体"/>
                <w:sz w:val="28"/>
                <w:szCs w:val="28"/>
              </w:rPr>
              <w:t>主要保护对象</w:t>
            </w:r>
          </w:p>
        </w:tc>
        <w:tc>
          <w:tcPr>
            <w:tcW w:w="6684" w:type="dxa"/>
            <w:gridSpan w:val="3"/>
            <w:vAlign w:val="bottom"/>
          </w:tcPr>
          <w:p>
            <w:pPr>
              <w:rPr>
                <w:rFonts w:hAnsi="宋体"/>
                <w:sz w:val="28"/>
                <w:szCs w:val="28"/>
              </w:rPr>
            </w:pPr>
          </w:p>
          <w:p>
            <w:pPr>
              <w:rPr>
                <w:rFonts w:hint="eastAsia" w:hAnsi="宋体"/>
                <w:sz w:val="28"/>
                <w:szCs w:val="28"/>
              </w:rPr>
            </w:pPr>
            <w:r>
              <w:rPr>
                <w:rFonts w:hint="eastAsia" w:hAnsi="宋体"/>
                <w:sz w:val="28"/>
                <w:szCs w:val="28"/>
              </w:rPr>
              <w:t>（重点保护的生物物种或生态系统）</w:t>
            </w:r>
          </w:p>
          <w:p>
            <w:pPr>
              <w:rPr>
                <w:rFonts w:hAns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2376" w:type="dxa"/>
            <w:vAlign w:val="center"/>
          </w:tcPr>
          <w:p>
            <w:pPr>
              <w:jc w:val="center"/>
              <w:rPr>
                <w:rFonts w:hint="eastAsia" w:ascii="黑体" w:hAnsi="黑体" w:eastAsia="黑体" w:cs="黑体"/>
                <w:sz w:val="28"/>
                <w:szCs w:val="28"/>
              </w:rPr>
            </w:pPr>
            <w:r>
              <w:rPr>
                <w:rFonts w:hint="eastAsia" w:ascii="黑体" w:hAnsi="黑体" w:eastAsia="黑体" w:cs="黑体"/>
                <w:sz w:val="28"/>
                <w:szCs w:val="28"/>
              </w:rPr>
              <w:t>保护管理部门</w:t>
            </w:r>
          </w:p>
        </w:tc>
        <w:tc>
          <w:tcPr>
            <w:tcW w:w="6684" w:type="dxa"/>
            <w:gridSpan w:val="3"/>
            <w:vAlign w:val="bottom"/>
          </w:tcPr>
          <w:p>
            <w:pPr>
              <w:rPr>
                <w:rFonts w:hAnsi="宋体"/>
                <w:sz w:val="28"/>
                <w:szCs w:val="28"/>
              </w:rPr>
            </w:pPr>
          </w:p>
          <w:p>
            <w:pPr>
              <w:rPr>
                <w:rFonts w:hint="eastAsia" w:hAnsi="宋体"/>
                <w:sz w:val="28"/>
                <w:szCs w:val="28"/>
              </w:rPr>
            </w:pPr>
            <w:r>
              <w:rPr>
                <w:rFonts w:hint="eastAsia" w:hAnsi="宋体"/>
                <w:sz w:val="28"/>
                <w:szCs w:val="28"/>
              </w:rPr>
              <w:t>（指该湿地归属管辖的部门）</w:t>
            </w:r>
          </w:p>
          <w:p>
            <w:pPr>
              <w:rPr>
                <w:rFonts w:hAns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2376" w:type="dxa"/>
            <w:vAlign w:val="center"/>
          </w:tcPr>
          <w:p>
            <w:pPr>
              <w:jc w:val="center"/>
              <w:rPr>
                <w:rFonts w:hint="eastAsia" w:ascii="黑体" w:hAnsi="黑体" w:eastAsia="黑体" w:cs="黑体"/>
                <w:sz w:val="28"/>
                <w:szCs w:val="28"/>
              </w:rPr>
            </w:pPr>
            <w:r>
              <w:rPr>
                <w:rFonts w:hint="eastAsia" w:ascii="黑体" w:hAnsi="黑体" w:eastAsia="黑体" w:cs="黑体"/>
                <w:sz w:val="28"/>
                <w:szCs w:val="28"/>
              </w:rPr>
              <w:t>管护责任单位</w:t>
            </w:r>
          </w:p>
        </w:tc>
        <w:tc>
          <w:tcPr>
            <w:tcW w:w="6684" w:type="dxa"/>
            <w:gridSpan w:val="3"/>
            <w:vAlign w:val="bottom"/>
          </w:tcPr>
          <w:p>
            <w:pPr>
              <w:rPr>
                <w:rFonts w:hAnsi="宋体"/>
                <w:sz w:val="28"/>
                <w:szCs w:val="28"/>
              </w:rPr>
            </w:pPr>
          </w:p>
          <w:p>
            <w:pPr>
              <w:rPr>
                <w:rFonts w:hint="eastAsia" w:hAnsi="宋体"/>
                <w:sz w:val="28"/>
                <w:szCs w:val="28"/>
              </w:rPr>
            </w:pPr>
            <w:r>
              <w:rPr>
                <w:rFonts w:hint="eastAsia" w:hAnsi="宋体"/>
                <w:sz w:val="28"/>
                <w:szCs w:val="28"/>
              </w:rPr>
              <w:t>（指具体负责该湿地保护管理工作的单位）</w:t>
            </w:r>
          </w:p>
          <w:p>
            <w:pPr>
              <w:rPr>
                <w:rFonts w:hAns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2376" w:type="dxa"/>
            <w:vAlign w:val="center"/>
          </w:tcPr>
          <w:p>
            <w:pPr>
              <w:jc w:val="center"/>
              <w:rPr>
                <w:rFonts w:hint="eastAsia" w:ascii="黑体" w:hAnsi="黑体" w:eastAsia="黑体" w:cs="黑体"/>
                <w:sz w:val="28"/>
                <w:szCs w:val="28"/>
              </w:rPr>
            </w:pPr>
            <w:r>
              <w:rPr>
                <w:rFonts w:hint="eastAsia" w:ascii="黑体" w:hAnsi="黑体" w:eastAsia="黑体" w:cs="黑体"/>
                <w:sz w:val="28"/>
                <w:szCs w:val="28"/>
              </w:rPr>
              <w:t>湿地权属</w:t>
            </w:r>
          </w:p>
        </w:tc>
        <w:tc>
          <w:tcPr>
            <w:tcW w:w="6684" w:type="dxa"/>
            <w:gridSpan w:val="3"/>
            <w:vAlign w:val="bottom"/>
          </w:tcPr>
          <w:p>
            <w:pPr>
              <w:rPr>
                <w:rFonts w:hint="eastAsia" w:hAnsi="宋体"/>
                <w:sz w:val="28"/>
                <w:szCs w:val="28"/>
              </w:rPr>
            </w:pPr>
            <w:r>
              <w:rPr>
                <w:rFonts w:hint="eastAsia" w:hAnsi="宋体"/>
                <w:sz w:val="28"/>
                <w:szCs w:val="28"/>
              </w:rPr>
              <w:t>（指湿地所有权情况，以国有、集体分别统计湿地面积）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9060" w:type="dxa"/>
            <w:gridSpan w:val="4"/>
            <w:vAlign w:val="center"/>
          </w:tcPr>
          <w:p>
            <w:pPr>
              <w:rPr>
                <w:rFonts w:hint="eastAsia" w:ascii="黑体" w:hAnsi="黑体" w:eastAsia="黑体" w:cs="黑体"/>
                <w:sz w:val="28"/>
                <w:szCs w:val="28"/>
              </w:rPr>
            </w:pPr>
            <w:r>
              <w:rPr>
                <w:rFonts w:hint="eastAsia" w:ascii="黑体" w:hAnsi="黑体" w:eastAsia="黑体" w:cs="黑体"/>
                <w:sz w:val="28"/>
                <w:szCs w:val="28"/>
              </w:rPr>
              <w:t>符合市重要湿地认定标准的条件</w:t>
            </w:r>
          </w:p>
          <w:p>
            <w:pPr>
              <w:rPr>
                <w:rFonts w:hint="eastAsia" w:hAnsi="宋体"/>
                <w:sz w:val="28"/>
                <w:szCs w:val="28"/>
              </w:rPr>
            </w:pPr>
            <w:r>
              <w:rPr>
                <w:rFonts w:hint="eastAsia" w:hAnsi="宋体"/>
                <w:sz w:val="28"/>
                <w:szCs w:val="28"/>
              </w:rPr>
              <w:t>（对照《烟台市重要湿地和一般湿地认定标准和管理办法》第四条，列出符合市重要湿地的指标，分别作简要说明）</w:t>
            </w: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hint="eastAsia" w:ascii="黑体" w:hAnsi="黑体" w:eastAsia="黑体" w:cs="黑体"/>
                <w:sz w:val="28"/>
                <w:szCs w:val="28"/>
              </w:rPr>
            </w:pPr>
            <w:r>
              <w:rPr>
                <w:rFonts w:hint="eastAsia" w:ascii="黑体" w:hAnsi="黑体" w:eastAsia="黑体" w:cs="黑体"/>
                <w:sz w:val="28"/>
                <w:szCs w:val="28"/>
              </w:rPr>
              <w:t>湿地资源现状</w:t>
            </w:r>
          </w:p>
          <w:p>
            <w:pPr>
              <w:rPr>
                <w:rFonts w:hint="eastAsia" w:hAnsi="宋体"/>
                <w:sz w:val="28"/>
                <w:szCs w:val="28"/>
              </w:rPr>
            </w:pPr>
            <w:r>
              <w:rPr>
                <w:rFonts w:hint="eastAsia" w:hAnsi="宋体"/>
                <w:sz w:val="28"/>
                <w:szCs w:val="28"/>
              </w:rPr>
              <w:t>（指湿地范围内的生态系统特点、生态状况、生物多样性状况、面临的威胁和问题。字数不超过500字）</w:t>
            </w:r>
          </w:p>
          <w:p>
            <w:pPr>
              <w:rPr>
                <w:rFonts w:hAnsi="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9060" w:type="dxa"/>
            <w:gridSpan w:val="4"/>
            <w:tcBorders>
              <w:bottom w:val="single" w:color="auto" w:sz="4" w:space="0"/>
            </w:tcBorders>
          </w:tcPr>
          <w:p>
            <w:pPr>
              <w:rPr>
                <w:rFonts w:hint="eastAsia" w:ascii="宋体" w:hAnsi="宋体" w:eastAsia="宋体"/>
                <w:sz w:val="28"/>
                <w:szCs w:val="28"/>
              </w:rPr>
            </w:pPr>
            <w:r>
              <w:rPr>
                <w:rFonts w:hint="eastAsia" w:ascii="黑体" w:hAnsi="黑体" w:eastAsia="黑体" w:cs="黑体"/>
                <w:sz w:val="28"/>
                <w:szCs w:val="28"/>
              </w:rPr>
              <w:t>湿地管护责任单位意见</w:t>
            </w:r>
          </w:p>
          <w:p>
            <w:pPr>
              <w:rPr>
                <w:rFonts w:ascii="宋体" w:hAnsi="宋体" w:eastAsia="宋体"/>
                <w:sz w:val="28"/>
                <w:szCs w:val="28"/>
              </w:rPr>
            </w:pPr>
          </w:p>
          <w:p>
            <w:pPr>
              <w:rPr>
                <w:rFonts w:ascii="宋体" w:hAnsi="宋体" w:eastAsia="宋体"/>
                <w:sz w:val="28"/>
                <w:szCs w:val="28"/>
              </w:rPr>
            </w:pPr>
          </w:p>
          <w:p>
            <w:pPr>
              <w:rPr>
                <w:rFonts w:hint="eastAsia" w:hAnsi="宋体"/>
                <w:sz w:val="28"/>
                <w:szCs w:val="28"/>
              </w:rPr>
            </w:pPr>
            <w:r>
              <w:rPr>
                <w:rFonts w:hint="eastAsia" w:ascii="宋体" w:hAnsi="宋体" w:eastAsia="宋体"/>
                <w:sz w:val="28"/>
                <w:szCs w:val="28"/>
              </w:rPr>
              <w:t xml:space="preserve">                                             </w:t>
            </w:r>
            <w:r>
              <w:rPr>
                <w:rFonts w:hint="eastAsia" w:hAnsi="宋体"/>
                <w:sz w:val="28"/>
                <w:szCs w:val="28"/>
              </w:rPr>
              <w:t>(盖章)</w:t>
            </w:r>
          </w:p>
          <w:p>
            <w:pPr>
              <w:rPr>
                <w:rFonts w:hint="eastAsia" w:ascii="宋体" w:hAnsi="宋体" w:eastAsia="宋体"/>
                <w:sz w:val="28"/>
                <w:szCs w:val="28"/>
              </w:rPr>
            </w:pPr>
            <w:r>
              <w:rPr>
                <w:rFonts w:hint="eastAsia" w:hAnsi="宋体"/>
                <w:sz w:val="28"/>
                <w:szCs w:val="2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9060" w:type="dxa"/>
            <w:gridSpan w:val="4"/>
            <w:tcBorders>
              <w:top w:val="single" w:color="auto" w:sz="4" w:space="0"/>
              <w:bottom w:val="single" w:color="auto" w:sz="4" w:space="0"/>
            </w:tcBorders>
          </w:tcPr>
          <w:p>
            <w:pPr>
              <w:rPr>
                <w:rFonts w:hint="eastAsia" w:ascii="黑体" w:hAnsi="黑体" w:eastAsia="黑体" w:cs="黑体"/>
                <w:sz w:val="28"/>
                <w:szCs w:val="28"/>
              </w:rPr>
            </w:pPr>
            <w:r>
              <w:rPr>
                <w:rFonts w:hint="eastAsia" w:ascii="黑体" w:hAnsi="黑体" w:eastAsia="黑体" w:cs="黑体"/>
                <w:sz w:val="28"/>
                <w:szCs w:val="28"/>
              </w:rPr>
              <w:t>区市湿地保护相关部门意见</w:t>
            </w:r>
          </w:p>
          <w:p>
            <w:pPr>
              <w:rPr>
                <w:rFonts w:ascii="宋体" w:hAnsi="宋体" w:eastAsia="宋体"/>
                <w:sz w:val="28"/>
                <w:szCs w:val="28"/>
              </w:rPr>
            </w:pPr>
          </w:p>
          <w:p>
            <w:pPr>
              <w:rPr>
                <w:rFonts w:hint="eastAsia" w:hAnsi="宋体"/>
                <w:sz w:val="28"/>
                <w:szCs w:val="28"/>
              </w:rPr>
            </w:pPr>
            <w:r>
              <w:rPr>
                <w:rFonts w:hint="eastAsia" w:ascii="宋体" w:hAnsi="宋体" w:eastAsia="宋体"/>
                <w:sz w:val="28"/>
                <w:szCs w:val="28"/>
              </w:rPr>
              <w:t xml:space="preserve">                                           </w:t>
            </w:r>
            <w:r>
              <w:rPr>
                <w:rFonts w:hint="eastAsia" w:hAnsi="宋体"/>
                <w:sz w:val="28"/>
                <w:szCs w:val="28"/>
              </w:rPr>
              <w:t xml:space="preserve">   (盖章)</w:t>
            </w:r>
          </w:p>
          <w:p>
            <w:pPr>
              <w:rPr>
                <w:rFonts w:hint="eastAsia" w:ascii="宋体" w:hAnsi="宋体" w:eastAsia="宋体"/>
                <w:sz w:val="28"/>
                <w:szCs w:val="28"/>
              </w:rPr>
            </w:pPr>
            <w:r>
              <w:rPr>
                <w:rFonts w:hint="eastAsia" w:hAnsi="宋体"/>
                <w:sz w:val="28"/>
                <w:szCs w:val="2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9060" w:type="dxa"/>
            <w:gridSpan w:val="4"/>
            <w:tcBorders>
              <w:top w:val="single" w:color="auto" w:sz="4" w:space="0"/>
            </w:tcBorders>
          </w:tcPr>
          <w:p>
            <w:pPr>
              <w:rPr>
                <w:rFonts w:hint="eastAsia" w:ascii="黑体" w:hAnsi="黑体" w:eastAsia="黑体" w:cs="黑体"/>
                <w:sz w:val="28"/>
                <w:szCs w:val="28"/>
              </w:rPr>
            </w:pPr>
            <w:r>
              <w:rPr>
                <w:rFonts w:hint="eastAsia" w:ascii="黑体" w:hAnsi="黑体" w:eastAsia="黑体" w:cs="黑体"/>
                <w:sz w:val="28"/>
                <w:szCs w:val="28"/>
              </w:rPr>
              <w:t>区市自然资源和林业主管部门意见</w:t>
            </w:r>
          </w:p>
          <w:p>
            <w:pPr>
              <w:rPr>
                <w:rFonts w:ascii="宋体" w:hAnsi="宋体" w:eastAsia="宋体"/>
                <w:sz w:val="28"/>
                <w:szCs w:val="28"/>
              </w:rPr>
            </w:pPr>
          </w:p>
          <w:p>
            <w:pPr>
              <w:rPr>
                <w:rFonts w:hAnsi="宋体"/>
                <w:sz w:val="28"/>
                <w:szCs w:val="28"/>
              </w:rPr>
            </w:pPr>
          </w:p>
          <w:p>
            <w:pPr>
              <w:rPr>
                <w:rFonts w:hint="eastAsia" w:hAnsi="宋体"/>
                <w:sz w:val="28"/>
                <w:szCs w:val="28"/>
              </w:rPr>
            </w:pPr>
            <w:r>
              <w:rPr>
                <w:rFonts w:hint="eastAsia" w:hAnsi="宋体"/>
                <w:sz w:val="28"/>
                <w:szCs w:val="28"/>
              </w:rPr>
              <w:t xml:space="preserve">                                             (盖章)</w:t>
            </w:r>
          </w:p>
          <w:p>
            <w:pPr>
              <w:rPr>
                <w:rFonts w:hint="eastAsia" w:ascii="宋体" w:hAnsi="宋体" w:eastAsia="宋体"/>
                <w:sz w:val="28"/>
                <w:szCs w:val="28"/>
              </w:rPr>
            </w:pPr>
            <w:r>
              <w:rPr>
                <w:rFonts w:hint="eastAsia" w:hAnsi="宋体"/>
                <w:sz w:val="28"/>
                <w:szCs w:val="28"/>
              </w:rPr>
              <w:t xml:space="preserve">                                           年  月  日</w:t>
            </w:r>
          </w:p>
        </w:tc>
      </w:tr>
    </w:tbl>
    <w:p>
      <w:pPr>
        <w:rPr>
          <w:rFonts w:hint="eastAsia"/>
        </w:rP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99695</wp:posOffset>
                </wp:positionH>
                <wp:positionV relativeFrom="paragraph">
                  <wp:posOffset>7871460</wp:posOffset>
                </wp:positionV>
                <wp:extent cx="1504950" cy="367665"/>
                <wp:effectExtent l="0" t="0" r="0" b="0"/>
                <wp:wrapNone/>
                <wp:docPr id="3" name="矩形 3"/>
                <wp:cNvGraphicFramePr/>
                <a:graphic xmlns:a="http://schemas.openxmlformats.org/drawingml/2006/main">
                  <a:graphicData uri="http://schemas.microsoft.com/office/word/2010/wordprocessingShape">
                    <wps:wsp>
                      <wps:cNvSpPr/>
                      <wps:spPr bwMode="auto">
                        <a:xfrm>
                          <a:off x="0" y="0"/>
                          <a:ext cx="1504950" cy="367665"/>
                        </a:xfrm>
                        <a:prstGeom prst="rect">
                          <a:avLst/>
                        </a:prstGeom>
                        <a:solidFill>
                          <a:srgbClr val="FFFFFF"/>
                        </a:solidFill>
                        <a:ln>
                          <a:noFill/>
                        </a:ln>
                      </wps:spPr>
                      <wps:bodyPr rot="0">
                        <a:noAutofit/>
                      </wps:bodyPr>
                    </wps:wsp>
                  </a:graphicData>
                </a:graphic>
              </wp:anchor>
            </w:drawing>
          </mc:Choice>
          <mc:Fallback>
            <w:pict>
              <v:rect id="_x0000_s1026" o:spid="_x0000_s1026" o:spt="1" style="position:absolute;left:0pt;margin-left:7.85pt;margin-top:619.8pt;height:28.95pt;width:118.5pt;z-index:251660288;mso-width-relative:page;mso-height-relative:page;" fillcolor="#FFFFFF" filled="t" stroked="f" coordsize="21600,21600" o:gfxdata="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HDEekXYAAAADAEA&#10;AA8AAAAAAAAAAQAgAAAAIgAAAGRycy9kb3ducmV2LnhtbFBLAQIUABQAAAAIAIdO4kAbB9xmqAEA&#10;ADUDAAAOAAAAAAAAAAEAIAAAACcBAABkcnMvZTJvRG9jLnhtbFBLBQYAAAAABgAGAFkBAABBBQAA&#10;AAA=&#10;">
                <v:fill on="t" focussize="0,0"/>
                <v:stroke on="f"/>
                <v:imagedata o:title=""/>
                <o:lock v:ext="edit" aspectratio="f"/>
              </v:rect>
            </w:pict>
          </mc:Fallback>
        </mc:AlternateContent>
      </w:r>
      <w:r>
        <w:rPr>
          <w:rFonts w:hint="eastAsia"/>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ge">
                  <wp:posOffset>9016365</wp:posOffset>
                </wp:positionV>
                <wp:extent cx="3299460" cy="367030"/>
                <wp:effectExtent l="0" t="0" r="0" b="0"/>
                <wp:wrapNone/>
                <wp:docPr id="4" name="矩形 4"/>
                <wp:cNvGraphicFramePr/>
                <a:graphic xmlns:a="http://schemas.openxmlformats.org/drawingml/2006/main">
                  <a:graphicData uri="http://schemas.microsoft.com/office/word/2010/wordprocessingShape">
                    <wps:wsp>
                      <wps:cNvSpPr/>
                      <wps:spPr bwMode="auto">
                        <a:xfrm>
                          <a:off x="0" y="0"/>
                          <a:ext cx="3299460" cy="367030"/>
                        </a:xfrm>
                        <a:prstGeom prst="rect">
                          <a:avLst/>
                        </a:prstGeom>
                        <a:noFill/>
                        <a:ln>
                          <a:noFill/>
                        </a:ln>
                      </wps:spPr>
                      <wps:txbx>
                        <w:txbxContent>
                          <w:p>
                            <w:pPr>
                              <w:spacing w:line="500" w:lineRule="exact"/>
                              <w:ind w:left="158" w:right="158"/>
                              <w:rPr>
                                <w:rFonts w:hint="eastAsia"/>
                                <w:sz w:val="28"/>
                                <w:szCs w:val="28"/>
                              </w:rPr>
                            </w:pPr>
                          </w:p>
                        </w:txbxContent>
                      </wps:txbx>
                      <wps:bodyPr wrap="square"/>
                    </wps:wsp>
                  </a:graphicData>
                </a:graphic>
              </wp:anchor>
            </w:drawing>
          </mc:Choice>
          <mc:Fallback>
            <w:pict>
              <v:rect id="_x0000_s1026" o:spid="_x0000_s1026" o:spt="1" style="position:absolute;left:0pt;margin-left:0.9pt;margin-top:709.95pt;height:28.9pt;width:259.8pt;mso-position-vertical-relative:page;z-index:251658240;mso-width-relative:page;mso-height-relative:page;" filled="f" stroked="f" coordsize="21600,21600" o:gfxdata="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af5QkdsAAAALAQAADwAAAAAAAAABACAAAAAi&#10;AAAAZHJzL2Rvd25yZXYueG1sUEsBAhQAFAAAAAgAh07iQARtse2VAQAAAwMAAA4AAAAAAAAAAQAg&#10;AAAAKgEAAGRycy9lMm9Eb2MueG1sUEsFBgAAAAAGAAYAWQEAADEFAAAAAA==&#10;">
                <v:fill on="f" focussize="0,0"/>
                <v:stroke on="f"/>
                <v:imagedata o:title=""/>
                <o:lock v:ext="edit" aspectratio="f"/>
                <v:textbox>
                  <w:txbxContent>
                    <w:p>
                      <w:pPr>
                        <w:spacing w:line="500" w:lineRule="exact"/>
                        <w:ind w:left="158" w:right="158"/>
                        <w:rPr>
                          <w:rFonts w:hint="eastAsia"/>
                          <w:sz w:val="28"/>
                          <w:szCs w:val="28"/>
                        </w:rPr>
                      </w:pPr>
                    </w:p>
                  </w:txbxContent>
                </v:textbox>
              </v:rect>
            </w:pict>
          </mc:Fallback>
        </mc:AlternateContent>
      </w:r>
      <w:r>
        <w:rPr>
          <w:rFonts w:hint="eastAsia"/>
        </w:rPr>
        <mc:AlternateContent>
          <mc:Choice Requires="wps">
            <w:drawing>
              <wp:anchor distT="0" distB="0" distL="114300" distR="114300" simplePos="0" relativeHeight="251659264" behindDoc="0" locked="0" layoutInCell="1" allowOverlap="1">
                <wp:simplePos x="0" y="0"/>
                <wp:positionH relativeFrom="column">
                  <wp:posOffset>3411855</wp:posOffset>
                </wp:positionH>
                <wp:positionV relativeFrom="page">
                  <wp:posOffset>9016365</wp:posOffset>
                </wp:positionV>
                <wp:extent cx="2163445" cy="367030"/>
                <wp:effectExtent l="0" t="0" r="0" b="0"/>
                <wp:wrapNone/>
                <wp:docPr id="5" name="矩形 5"/>
                <wp:cNvGraphicFramePr/>
                <a:graphic xmlns:a="http://schemas.openxmlformats.org/drawingml/2006/main">
                  <a:graphicData uri="http://schemas.microsoft.com/office/word/2010/wordprocessingShape">
                    <wps:wsp>
                      <wps:cNvSpPr/>
                      <wps:spPr bwMode="auto">
                        <a:xfrm>
                          <a:off x="0" y="0"/>
                          <a:ext cx="2163445" cy="367030"/>
                        </a:xfrm>
                        <a:prstGeom prst="rect">
                          <a:avLst/>
                        </a:prstGeom>
                        <a:noFill/>
                        <a:ln>
                          <a:noFill/>
                        </a:ln>
                      </wps:spPr>
                      <wps:txbx>
                        <w:txbxContent>
                          <w:p>
                            <w:pPr>
                              <w:ind w:right="158"/>
                              <w:jc w:val="both"/>
                              <w:rPr>
                                <w:rFonts w:hint="eastAsia"/>
                                <w:szCs w:val="28"/>
                              </w:rPr>
                            </w:pPr>
                          </w:p>
                        </w:txbxContent>
                      </wps:txbx>
                      <wps:bodyPr wrap="square"/>
                    </wps:wsp>
                  </a:graphicData>
                </a:graphic>
              </wp:anchor>
            </w:drawing>
          </mc:Choice>
          <mc:Fallback>
            <w:pict>
              <v:rect id="_x0000_s1026" o:spid="_x0000_s1026" o:spt="1" style="position:absolute;left:0pt;margin-left:268.65pt;margin-top:709.95pt;height:28.9pt;width:170.35pt;mso-position-vertical-relative:page;z-index:251659264;mso-width-relative:page;mso-height-relative:page;" filled="f" stroked="f" coordsize="21600,21600" o:gfxdata="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FxrXPTcAAAADQEAAA8AAAAAAAAAAQAgAAAA&#10;IgAAAGRycy9kb3ducmV2LnhtbFBLAQIUABQAAAAIAIdO4kBrEd1jlQEAAAMDAAAOAAAAAAAAAAEA&#10;IAAAACsBAABkcnMvZTJvRG9jLnhtbFBLBQYAAAAABgAGAFkBAAAyBQAAAAA=&#10;">
                <v:fill on="f" focussize="0,0"/>
                <v:stroke on="f"/>
                <v:imagedata o:title=""/>
                <o:lock v:ext="edit" aspectratio="f"/>
                <v:textbox>
                  <w:txbxContent>
                    <w:p>
                      <w:pPr>
                        <w:ind w:right="158"/>
                        <w:jc w:val="both"/>
                        <w:rPr>
                          <w:rFonts w:hint="eastAsia"/>
                          <w:szCs w:val="28"/>
                        </w:rPr>
                      </w:pPr>
                    </w:p>
                  </w:txbxContent>
                </v:textbox>
              </v:rect>
            </w:pict>
          </mc:Fallback>
        </mc:AlternateContent>
      </w:r>
      <w:bookmarkStart w:id="0" w:name="_GoBack"/>
      <w:bookmarkEnd w:id="0"/>
    </w:p>
    <w:sectPr>
      <w:footerReference r:id="rId3" w:type="default"/>
      <w:footerReference r:id="rId4" w:type="even"/>
      <w:pgSz w:w="11906" w:h="16838"/>
      <w:pgMar w:top="2098" w:right="1531" w:bottom="1985" w:left="1531" w:header="851" w:footer="1418"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20"/>
      <w:jc w:val="right"/>
    </w:pPr>
    <w:r>
      <w:rPr>
        <w:rFonts w:hint="eastAsia" w:ascii="宋体" w:hAnsi="宋体" w:eastAsia="宋体"/>
        <w:sz w:val="28"/>
        <w:szCs w:val="28"/>
      </w:rPr>
      <w:t xml:space="preserve">— </w:t>
    </w:r>
    <w:r>
      <w:rPr>
        <w:rStyle w:val="29"/>
        <w:rFonts w:ascii="宋体" w:hAnsi="宋体" w:eastAsia="宋体"/>
        <w:sz w:val="28"/>
        <w:szCs w:val="28"/>
      </w:rPr>
      <w:fldChar w:fldCharType="begin"/>
    </w:r>
    <w:r>
      <w:rPr>
        <w:rStyle w:val="29"/>
        <w:rFonts w:ascii="宋体" w:hAnsi="宋体" w:eastAsia="宋体"/>
        <w:sz w:val="28"/>
        <w:szCs w:val="28"/>
      </w:rPr>
      <w:instrText xml:space="preserve"> PAGE </w:instrText>
    </w:r>
    <w:r>
      <w:rPr>
        <w:rStyle w:val="29"/>
        <w:rFonts w:ascii="宋体" w:hAnsi="宋体" w:eastAsia="宋体"/>
        <w:sz w:val="28"/>
        <w:szCs w:val="28"/>
      </w:rPr>
      <w:fldChar w:fldCharType="separate"/>
    </w:r>
    <w:r>
      <w:rPr>
        <w:rStyle w:val="29"/>
        <w:rFonts w:ascii="宋体" w:hAnsi="宋体" w:eastAsia="宋体"/>
        <w:sz w:val="28"/>
        <w:szCs w:val="28"/>
      </w:rPr>
      <w:t>1</w:t>
    </w:r>
    <w:r>
      <w:rPr>
        <w:rStyle w:val="29"/>
        <w:rFonts w:ascii="宋体" w:hAnsi="宋体" w:eastAsia="宋体"/>
        <w:sz w:val="28"/>
        <w:szCs w:val="28"/>
      </w:rPr>
      <w:fldChar w:fldCharType="end"/>
    </w:r>
    <w:r>
      <w:rPr>
        <w:rFonts w:hint="eastAsia" w:ascii="宋体" w:hAnsi="宋体" w:eastAsia="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left="320"/>
      <w:rPr>
        <w:rFonts w:hint="eastAsia"/>
      </w:rPr>
    </w:pPr>
    <w:r>
      <w:rPr>
        <w:rFonts w:hint="eastAsia" w:ascii="宋体" w:hAnsi="宋体" w:eastAsia="宋体"/>
        <w:sz w:val="28"/>
        <w:szCs w:val="28"/>
      </w:rPr>
      <w:t xml:space="preserve">— </w:t>
    </w:r>
    <w:r>
      <w:rPr>
        <w:rStyle w:val="29"/>
        <w:rFonts w:ascii="宋体" w:hAnsi="宋体" w:eastAsia="宋体"/>
        <w:sz w:val="28"/>
        <w:szCs w:val="28"/>
      </w:rPr>
      <w:fldChar w:fldCharType="begin"/>
    </w:r>
    <w:r>
      <w:rPr>
        <w:rStyle w:val="29"/>
        <w:rFonts w:ascii="宋体" w:hAnsi="宋体" w:eastAsia="宋体"/>
        <w:sz w:val="28"/>
        <w:szCs w:val="28"/>
      </w:rPr>
      <w:instrText xml:space="preserve"> PAGE </w:instrText>
    </w:r>
    <w:r>
      <w:rPr>
        <w:rStyle w:val="29"/>
        <w:rFonts w:ascii="宋体" w:hAnsi="宋体" w:eastAsia="宋体"/>
        <w:sz w:val="28"/>
        <w:szCs w:val="28"/>
      </w:rPr>
      <w:fldChar w:fldCharType="separate"/>
    </w:r>
    <w:r>
      <w:rPr>
        <w:rStyle w:val="29"/>
        <w:rFonts w:ascii="宋体" w:hAnsi="宋体" w:eastAsia="宋体"/>
        <w:sz w:val="28"/>
        <w:szCs w:val="28"/>
      </w:rPr>
      <w:t>2</w:t>
    </w:r>
    <w:r>
      <w:rPr>
        <w:rStyle w:val="29"/>
        <w:rFonts w:ascii="宋体" w:hAnsi="宋体" w:eastAsia="宋体"/>
        <w:sz w:val="28"/>
        <w:szCs w:val="28"/>
      </w:rPr>
      <w:fldChar w:fldCharType="end"/>
    </w:r>
    <w:r>
      <w:rPr>
        <w:rFonts w:hint="eastAsia" w:ascii="宋体" w:hAnsi="宋体" w:eastAsia="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evenAndOddHeaders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601B5E"/>
    <w:rsid w:val="6DDC5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qFormat="1" w:uiPriority="39" w:semiHidden="0" w:name="toc 3"/>
    <w:lsdException w:qFormat="1" w:uiPriority="39" w:semiHidden="0" w:name="toc 4"/>
    <w:lsdException w:uiPriority="39" w:semiHidden="0" w:name="toc 5"/>
    <w:lsdException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beforeAutospacing="0" w:after="0" w:afterAutospacing="0" w:line="240" w:lineRule="auto"/>
      <w:ind w:left="0" w:right="0" w:firstLine="0"/>
      <w:jc w:val="both"/>
    </w:pPr>
    <w:rPr>
      <w:rFonts w:ascii="仿宋_GB2312" w:hAnsi="Times New Roman" w:eastAsia="仿宋_GB2312" w:cs="Times New Roman"/>
      <w:color w:val="auto"/>
      <w:spacing w:val="0"/>
      <w:position w:val="0"/>
      <w:sz w:val="32"/>
      <w:szCs w:val="32"/>
      <w:lang w:val="en-US" w:eastAsia="zh-CN" w:bidi="ar-SA"/>
    </w:rPr>
  </w:style>
  <w:style w:type="paragraph" w:styleId="2">
    <w:name w:val="heading 1"/>
    <w:basedOn w:val="1"/>
    <w:next w:val="1"/>
    <w:link w:val="34"/>
    <w:qFormat/>
    <w:uiPriority w:val="9"/>
    <w:pPr>
      <w:keepNext/>
      <w:keepLines/>
      <w:spacing w:before="480" w:after="200"/>
      <w:outlineLvl w:val="0"/>
    </w:pPr>
    <w:rPr>
      <w:rFonts w:ascii="Arial" w:hAnsi="Arial" w:eastAsia="Arial" w:cs="Arial"/>
      <w:sz w:val="40"/>
      <w:szCs w:val="40"/>
    </w:rPr>
  </w:style>
  <w:style w:type="paragraph" w:styleId="3">
    <w:name w:val="heading 2"/>
    <w:basedOn w:val="1"/>
    <w:next w:val="4"/>
    <w:qFormat/>
    <w:uiPriority w:val="0"/>
    <w:pPr>
      <w:keepNext/>
      <w:tabs>
        <w:tab w:val="left" w:pos="737"/>
      </w:tabs>
      <w:jc w:val="left"/>
      <w:outlineLvl w:val="1"/>
    </w:pPr>
    <w:rPr>
      <w:rFonts w:ascii="Calibri" w:hAnsi="Calibri" w:eastAsia="宋体"/>
      <w:sz w:val="30"/>
      <w:szCs w:val="24"/>
    </w:rPr>
  </w:style>
  <w:style w:type="paragraph" w:styleId="5">
    <w:name w:val="heading 3"/>
    <w:basedOn w:val="1"/>
    <w:next w:val="1"/>
    <w:link w:val="36"/>
    <w:unhideWhenUsed/>
    <w:qFormat/>
    <w:uiPriority w:val="9"/>
    <w:pPr>
      <w:keepNext/>
      <w:keepLines/>
      <w:spacing w:before="320" w:after="200"/>
      <w:outlineLvl w:val="2"/>
    </w:pPr>
    <w:rPr>
      <w:rFonts w:ascii="Arial" w:hAnsi="Arial" w:eastAsia="Arial" w:cs="Arial"/>
      <w:sz w:val="30"/>
      <w:szCs w:val="30"/>
    </w:rPr>
  </w:style>
  <w:style w:type="paragraph" w:styleId="6">
    <w:name w:val="heading 4"/>
    <w:basedOn w:val="1"/>
    <w:next w:val="1"/>
    <w:link w:val="37"/>
    <w:unhideWhenUsed/>
    <w:qFormat/>
    <w:uiPriority w:val="9"/>
    <w:pPr>
      <w:keepNext/>
      <w:keepLines/>
      <w:spacing w:before="320" w:after="200"/>
      <w:outlineLvl w:val="3"/>
    </w:pPr>
    <w:rPr>
      <w:rFonts w:ascii="Arial" w:hAnsi="Arial" w:eastAsia="Arial" w:cs="Arial"/>
      <w:b/>
      <w:bCs/>
      <w:sz w:val="26"/>
      <w:szCs w:val="26"/>
    </w:rPr>
  </w:style>
  <w:style w:type="paragraph" w:styleId="7">
    <w:name w:val="heading 5"/>
    <w:basedOn w:val="1"/>
    <w:next w:val="1"/>
    <w:link w:val="38"/>
    <w:unhideWhenUsed/>
    <w:qFormat/>
    <w:uiPriority w:val="9"/>
    <w:pPr>
      <w:keepNext/>
      <w:keepLines/>
      <w:spacing w:before="320" w:after="200"/>
      <w:outlineLvl w:val="4"/>
    </w:pPr>
    <w:rPr>
      <w:rFonts w:ascii="Arial" w:hAnsi="Arial" w:eastAsia="Arial" w:cs="Arial"/>
      <w:b/>
      <w:bCs/>
      <w:sz w:val="24"/>
      <w:szCs w:val="24"/>
    </w:rPr>
  </w:style>
  <w:style w:type="paragraph" w:styleId="8">
    <w:name w:val="heading 6"/>
    <w:basedOn w:val="1"/>
    <w:next w:val="1"/>
    <w:link w:val="39"/>
    <w:unhideWhenUsed/>
    <w:qFormat/>
    <w:uiPriority w:val="9"/>
    <w:pPr>
      <w:keepNext/>
      <w:keepLines/>
      <w:spacing w:before="320" w:after="200"/>
      <w:outlineLvl w:val="5"/>
    </w:pPr>
    <w:rPr>
      <w:rFonts w:ascii="Arial" w:hAnsi="Arial" w:eastAsia="Arial" w:cs="Arial"/>
      <w:b/>
      <w:bCs/>
      <w:sz w:val="22"/>
      <w:szCs w:val="22"/>
    </w:rPr>
  </w:style>
  <w:style w:type="paragraph" w:styleId="9">
    <w:name w:val="heading 7"/>
    <w:basedOn w:val="1"/>
    <w:next w:val="1"/>
    <w:link w:val="40"/>
    <w:unhideWhenUsed/>
    <w:qFormat/>
    <w:uiPriority w:val="9"/>
    <w:pPr>
      <w:keepNext/>
      <w:keepLines/>
      <w:spacing w:before="320" w:after="200"/>
      <w:outlineLvl w:val="6"/>
    </w:pPr>
    <w:rPr>
      <w:rFonts w:ascii="Arial" w:hAnsi="Arial" w:eastAsia="Arial" w:cs="Arial"/>
      <w:b/>
      <w:bCs/>
      <w:i/>
      <w:iCs/>
      <w:sz w:val="22"/>
      <w:szCs w:val="22"/>
    </w:rPr>
  </w:style>
  <w:style w:type="paragraph" w:styleId="10">
    <w:name w:val="heading 8"/>
    <w:basedOn w:val="1"/>
    <w:next w:val="1"/>
    <w:link w:val="41"/>
    <w:unhideWhenUsed/>
    <w:qFormat/>
    <w:uiPriority w:val="9"/>
    <w:pPr>
      <w:keepNext/>
      <w:keepLines/>
      <w:spacing w:before="320" w:after="200"/>
      <w:outlineLvl w:val="7"/>
    </w:pPr>
    <w:rPr>
      <w:rFonts w:ascii="Arial" w:hAnsi="Arial" w:eastAsia="Arial" w:cs="Arial"/>
      <w:i/>
      <w:iCs/>
      <w:sz w:val="22"/>
      <w:szCs w:val="22"/>
    </w:rPr>
  </w:style>
  <w:style w:type="paragraph" w:styleId="11">
    <w:name w:val="heading 9"/>
    <w:basedOn w:val="1"/>
    <w:next w:val="1"/>
    <w:link w:val="42"/>
    <w:unhideWhenUsed/>
    <w:qFormat/>
    <w:uiPriority w:val="9"/>
    <w:pPr>
      <w:keepNext/>
      <w:keepLines/>
      <w:spacing w:before="320" w:after="200"/>
      <w:outlineLvl w:val="8"/>
    </w:pPr>
    <w:rPr>
      <w:rFonts w:ascii="Arial" w:hAnsi="Arial" w:eastAsia="Arial" w:cs="Arial"/>
      <w:i/>
      <w:iCs/>
      <w:sz w:val="21"/>
      <w:szCs w:val="21"/>
    </w:rPr>
  </w:style>
  <w:style w:type="character" w:default="1" w:styleId="28">
    <w:name w:val="Default Paragraph Font"/>
    <w:semiHidden/>
    <w:qFormat/>
    <w:uiPriority w:val="0"/>
  </w:style>
  <w:style w:type="table" w:default="1" w:styleId="32">
    <w:name w:val="Normal Table"/>
    <w:semiHidden/>
    <w:qFormat/>
    <w:uiPriority w:val="0"/>
    <w:tblPr>
      <w:tblLayout w:type="fixed"/>
      <w:tblCellMar>
        <w:top w:w="0" w:type="dxa"/>
        <w:left w:w="108" w:type="dxa"/>
        <w:bottom w:w="0" w:type="dxa"/>
        <w:right w:w="108" w:type="dxa"/>
      </w:tblCellMar>
    </w:tblPr>
  </w:style>
  <w:style w:type="paragraph" w:styleId="4">
    <w:name w:val="Normal Indent"/>
    <w:basedOn w:val="1"/>
    <w:qFormat/>
    <w:uiPriority w:val="0"/>
    <w:pPr>
      <w:ind w:firstLine="420"/>
    </w:pPr>
  </w:style>
  <w:style w:type="paragraph" w:styleId="12">
    <w:name w:val="toc 7"/>
    <w:basedOn w:val="1"/>
    <w:next w:val="1"/>
    <w:unhideWhenUsed/>
    <w:qFormat/>
    <w:uiPriority w:val="39"/>
    <w:pPr>
      <w:spacing w:after="57"/>
      <w:ind w:left="1701" w:right="0" w:firstLine="0"/>
    </w:pPr>
  </w:style>
  <w:style w:type="paragraph" w:styleId="13">
    <w:name w:val="Body Text"/>
    <w:basedOn w:val="1"/>
    <w:unhideWhenUsed/>
    <w:qFormat/>
    <w:uiPriority w:val="0"/>
    <w:pPr>
      <w:ind w:left="120"/>
    </w:pPr>
    <w:rPr>
      <w:rFonts w:ascii="Calibri" w:hAnsi="Calibri" w:eastAsia="宋体"/>
      <w:sz w:val="28"/>
      <w:szCs w:val="28"/>
    </w:rPr>
  </w:style>
  <w:style w:type="paragraph" w:styleId="14">
    <w:name w:val="Block Text"/>
    <w:basedOn w:val="1"/>
    <w:qFormat/>
    <w:uiPriority w:val="0"/>
    <w:pPr>
      <w:ind w:hanging="965"/>
    </w:pPr>
    <w:rPr>
      <w:rFonts w:ascii="Calibri" w:hAnsi="Calibri"/>
      <w:szCs w:val="24"/>
    </w:rPr>
  </w:style>
  <w:style w:type="paragraph" w:styleId="15">
    <w:name w:val="toc 5"/>
    <w:basedOn w:val="1"/>
    <w:next w:val="1"/>
    <w:unhideWhenUsed/>
    <w:uiPriority w:val="39"/>
    <w:pPr>
      <w:spacing w:after="57"/>
      <w:ind w:left="1134" w:right="0" w:firstLine="0"/>
    </w:pPr>
  </w:style>
  <w:style w:type="paragraph" w:styleId="16">
    <w:name w:val="toc 3"/>
    <w:basedOn w:val="1"/>
    <w:next w:val="1"/>
    <w:unhideWhenUsed/>
    <w:qFormat/>
    <w:uiPriority w:val="39"/>
    <w:pPr>
      <w:spacing w:after="57"/>
      <w:ind w:left="567" w:right="0" w:firstLine="0"/>
    </w:pPr>
  </w:style>
  <w:style w:type="paragraph" w:styleId="17">
    <w:name w:val="toc 8"/>
    <w:basedOn w:val="1"/>
    <w:next w:val="1"/>
    <w:unhideWhenUsed/>
    <w:qFormat/>
    <w:uiPriority w:val="39"/>
    <w:pPr>
      <w:spacing w:after="57"/>
      <w:ind w:left="1984" w:right="0" w:firstLine="0"/>
    </w:pPr>
  </w:style>
  <w:style w:type="paragraph" w:styleId="18">
    <w:name w:val="footer"/>
    <w:basedOn w:val="1"/>
    <w:uiPriority w:val="0"/>
    <w:pPr>
      <w:tabs>
        <w:tab w:val="center" w:pos="4153"/>
        <w:tab w:val="right" w:pos="8306"/>
      </w:tabs>
      <w:jc w:val="left"/>
    </w:pPr>
    <w:rPr>
      <w:sz w:val="18"/>
      <w:szCs w:val="18"/>
    </w:rPr>
  </w:style>
  <w:style w:type="paragraph" w:styleId="19">
    <w:name w:val="header"/>
    <w:basedOn w:val="1"/>
    <w:uiPriority w:val="0"/>
    <w:pPr>
      <w:pBdr>
        <w:bottom w:val="single" w:color="auto" w:sz="6" w:space="1"/>
      </w:pBdr>
      <w:tabs>
        <w:tab w:val="center" w:pos="4153"/>
        <w:tab w:val="right" w:pos="8306"/>
      </w:tabs>
      <w:jc w:val="center"/>
    </w:pPr>
    <w:rPr>
      <w:sz w:val="18"/>
      <w:szCs w:val="18"/>
    </w:rPr>
  </w:style>
  <w:style w:type="paragraph" w:styleId="20">
    <w:name w:val="toc 1"/>
    <w:basedOn w:val="1"/>
    <w:next w:val="1"/>
    <w:unhideWhenUsed/>
    <w:uiPriority w:val="39"/>
    <w:pPr>
      <w:spacing w:after="57"/>
      <w:ind w:left="0" w:right="0" w:firstLine="0"/>
    </w:pPr>
  </w:style>
  <w:style w:type="paragraph" w:styleId="21">
    <w:name w:val="toc 4"/>
    <w:basedOn w:val="1"/>
    <w:next w:val="1"/>
    <w:unhideWhenUsed/>
    <w:qFormat/>
    <w:uiPriority w:val="39"/>
    <w:pPr>
      <w:spacing w:after="57"/>
      <w:ind w:left="850" w:right="0" w:firstLine="0"/>
    </w:pPr>
  </w:style>
  <w:style w:type="paragraph" w:styleId="22">
    <w:name w:val="Subtitle"/>
    <w:basedOn w:val="1"/>
    <w:next w:val="1"/>
    <w:link w:val="46"/>
    <w:qFormat/>
    <w:uiPriority w:val="11"/>
    <w:pPr>
      <w:spacing w:before="200" w:after="200"/>
    </w:pPr>
    <w:rPr>
      <w:sz w:val="24"/>
      <w:szCs w:val="24"/>
    </w:rPr>
  </w:style>
  <w:style w:type="paragraph" w:styleId="23">
    <w:name w:val="footnote text"/>
    <w:basedOn w:val="1"/>
    <w:link w:val="74"/>
    <w:semiHidden/>
    <w:unhideWhenUsed/>
    <w:qFormat/>
    <w:uiPriority w:val="99"/>
    <w:pPr>
      <w:spacing w:after="40" w:line="240" w:lineRule="auto"/>
    </w:pPr>
    <w:rPr>
      <w:sz w:val="18"/>
    </w:rPr>
  </w:style>
  <w:style w:type="paragraph" w:styleId="24">
    <w:name w:val="toc 6"/>
    <w:basedOn w:val="1"/>
    <w:next w:val="1"/>
    <w:unhideWhenUsed/>
    <w:uiPriority w:val="39"/>
    <w:pPr>
      <w:spacing w:after="57"/>
      <w:ind w:left="1417" w:right="0" w:firstLine="0"/>
    </w:pPr>
  </w:style>
  <w:style w:type="paragraph" w:styleId="25">
    <w:name w:val="toc 2"/>
    <w:basedOn w:val="1"/>
    <w:next w:val="1"/>
    <w:unhideWhenUsed/>
    <w:uiPriority w:val="39"/>
    <w:pPr>
      <w:spacing w:after="57"/>
      <w:ind w:left="283" w:right="0" w:firstLine="0"/>
    </w:pPr>
  </w:style>
  <w:style w:type="paragraph" w:styleId="26">
    <w:name w:val="toc 9"/>
    <w:basedOn w:val="1"/>
    <w:next w:val="1"/>
    <w:unhideWhenUsed/>
    <w:qFormat/>
    <w:uiPriority w:val="39"/>
    <w:pPr>
      <w:spacing w:after="57"/>
      <w:ind w:left="2268" w:right="0" w:firstLine="0"/>
    </w:pPr>
  </w:style>
  <w:style w:type="paragraph" w:styleId="27">
    <w:name w:val="Title"/>
    <w:basedOn w:val="1"/>
    <w:next w:val="1"/>
    <w:link w:val="45"/>
    <w:qFormat/>
    <w:uiPriority w:val="10"/>
    <w:pPr>
      <w:spacing w:before="300" w:after="200"/>
      <w:contextualSpacing/>
    </w:pPr>
    <w:rPr>
      <w:sz w:val="48"/>
      <w:szCs w:val="48"/>
    </w:rPr>
  </w:style>
  <w:style w:type="character" w:styleId="29">
    <w:name w:val="page number"/>
    <w:basedOn w:val="28"/>
    <w:uiPriority w:val="0"/>
  </w:style>
  <w:style w:type="character" w:styleId="30">
    <w:name w:val="Hyperlink"/>
    <w:unhideWhenUsed/>
    <w:uiPriority w:val="99"/>
    <w:rPr>
      <w:color w:val="0563C1" w:themeColor="hyperlink"/>
      <w:u w:val="single"/>
      <w14:textFill>
        <w14:solidFill>
          <w14:schemeClr w14:val="hlink"/>
        </w14:solidFill>
      </w14:textFill>
    </w:rPr>
  </w:style>
  <w:style w:type="character" w:styleId="31">
    <w:name w:val="footnote reference"/>
    <w:basedOn w:val="28"/>
    <w:unhideWhenUsed/>
    <w:qFormat/>
    <w:uiPriority w:val="99"/>
    <w:rPr>
      <w:vertAlign w:val="superscript"/>
    </w:rPr>
  </w:style>
  <w:style w:type="table" w:styleId="33">
    <w:name w:val="Table Grid"/>
    <w:basedOn w:val="32"/>
    <w:qFormat/>
    <w:uiPriority w:val="0"/>
    <w:pPr>
      <w:widowControl w:val="0"/>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34">
    <w:name w:val="Heading 1 Char"/>
    <w:basedOn w:val="28"/>
    <w:link w:val="2"/>
    <w:uiPriority w:val="9"/>
    <w:rPr>
      <w:rFonts w:ascii="Arial" w:hAnsi="Arial" w:eastAsia="Arial" w:cs="Arial"/>
      <w:sz w:val="40"/>
      <w:szCs w:val="40"/>
    </w:rPr>
  </w:style>
  <w:style w:type="character" w:customStyle="1" w:styleId="35">
    <w:name w:val="Heading 2 Char"/>
    <w:basedOn w:val="28"/>
    <w:uiPriority w:val="9"/>
    <w:rPr>
      <w:rFonts w:ascii="Arial" w:hAnsi="Arial" w:eastAsia="Arial" w:cs="Arial"/>
      <w:sz w:val="34"/>
    </w:rPr>
  </w:style>
  <w:style w:type="character" w:customStyle="1" w:styleId="36">
    <w:name w:val="Heading 3 Char"/>
    <w:basedOn w:val="28"/>
    <w:link w:val="5"/>
    <w:qFormat/>
    <w:uiPriority w:val="9"/>
    <w:rPr>
      <w:rFonts w:ascii="Arial" w:hAnsi="Arial" w:eastAsia="Arial" w:cs="Arial"/>
      <w:sz w:val="30"/>
      <w:szCs w:val="30"/>
    </w:rPr>
  </w:style>
  <w:style w:type="character" w:customStyle="1" w:styleId="37">
    <w:name w:val="Heading 4 Char"/>
    <w:basedOn w:val="28"/>
    <w:link w:val="6"/>
    <w:uiPriority w:val="9"/>
    <w:rPr>
      <w:rFonts w:ascii="Arial" w:hAnsi="Arial" w:eastAsia="Arial" w:cs="Arial"/>
      <w:b/>
      <w:bCs/>
      <w:sz w:val="26"/>
      <w:szCs w:val="26"/>
    </w:rPr>
  </w:style>
  <w:style w:type="character" w:customStyle="1" w:styleId="38">
    <w:name w:val="Heading 5 Char"/>
    <w:basedOn w:val="28"/>
    <w:link w:val="7"/>
    <w:qFormat/>
    <w:uiPriority w:val="9"/>
    <w:rPr>
      <w:rFonts w:ascii="Arial" w:hAnsi="Arial" w:eastAsia="Arial" w:cs="Arial"/>
      <w:b/>
      <w:bCs/>
      <w:sz w:val="24"/>
      <w:szCs w:val="24"/>
    </w:rPr>
  </w:style>
  <w:style w:type="character" w:customStyle="1" w:styleId="39">
    <w:name w:val="Heading 6 Char"/>
    <w:basedOn w:val="28"/>
    <w:link w:val="8"/>
    <w:qFormat/>
    <w:uiPriority w:val="9"/>
    <w:rPr>
      <w:rFonts w:ascii="Arial" w:hAnsi="Arial" w:eastAsia="Arial" w:cs="Arial"/>
      <w:b/>
      <w:bCs/>
      <w:sz w:val="22"/>
      <w:szCs w:val="22"/>
    </w:rPr>
  </w:style>
  <w:style w:type="character" w:customStyle="1" w:styleId="40">
    <w:name w:val="Heading 7 Char"/>
    <w:basedOn w:val="28"/>
    <w:link w:val="9"/>
    <w:uiPriority w:val="9"/>
    <w:rPr>
      <w:rFonts w:ascii="Arial" w:hAnsi="Arial" w:eastAsia="Arial" w:cs="Arial"/>
      <w:b/>
      <w:bCs/>
      <w:i/>
      <w:iCs/>
      <w:sz w:val="22"/>
      <w:szCs w:val="22"/>
    </w:rPr>
  </w:style>
  <w:style w:type="character" w:customStyle="1" w:styleId="41">
    <w:name w:val="Heading 8 Char"/>
    <w:basedOn w:val="28"/>
    <w:link w:val="10"/>
    <w:qFormat/>
    <w:uiPriority w:val="9"/>
    <w:rPr>
      <w:rFonts w:ascii="Arial" w:hAnsi="Arial" w:eastAsia="Arial" w:cs="Arial"/>
      <w:i/>
      <w:iCs/>
      <w:sz w:val="22"/>
      <w:szCs w:val="22"/>
    </w:rPr>
  </w:style>
  <w:style w:type="character" w:customStyle="1" w:styleId="42">
    <w:name w:val="Heading 9 Char"/>
    <w:basedOn w:val="28"/>
    <w:link w:val="11"/>
    <w:qFormat/>
    <w:uiPriority w:val="9"/>
    <w:rPr>
      <w:rFonts w:ascii="Arial" w:hAnsi="Arial" w:eastAsia="Arial" w:cs="Arial"/>
      <w:i/>
      <w:iCs/>
      <w:sz w:val="21"/>
      <w:szCs w:val="21"/>
    </w:rPr>
  </w:style>
  <w:style w:type="paragraph" w:styleId="43">
    <w:name w:val="List Paragraph"/>
    <w:basedOn w:val="1"/>
    <w:qFormat/>
    <w:uiPriority w:val="34"/>
    <w:pPr>
      <w:ind w:left="720"/>
      <w:contextualSpacing/>
    </w:pPr>
  </w:style>
  <w:style w:type="paragraph" w:styleId="44">
    <w:name w:val="No Spacing"/>
    <w:qFormat/>
    <w:uiPriority w:val="1"/>
    <w:pPr>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beforeAutospacing="0" w:after="0" w:afterAutospacing="0" w:line="240" w:lineRule="auto"/>
      <w:ind w:left="0" w:right="0" w:firstLine="0"/>
      <w:jc w:val="left"/>
    </w:pPr>
    <w:rPr>
      <w:rFonts w:ascii="Times New Roman" w:hAnsi="Times New Roman" w:eastAsia="宋体" w:cs="Times New Roman"/>
      <w:color w:val="auto"/>
      <w:spacing w:val="0"/>
      <w:position w:val="0"/>
      <w:sz w:val="20"/>
      <w:szCs w:val="22"/>
      <w:lang w:val="en-US" w:eastAsia="zh-CN" w:bidi="ar-SA"/>
    </w:rPr>
  </w:style>
  <w:style w:type="character" w:customStyle="1" w:styleId="45">
    <w:name w:val="Title Char"/>
    <w:basedOn w:val="28"/>
    <w:link w:val="27"/>
    <w:qFormat/>
    <w:uiPriority w:val="10"/>
    <w:rPr>
      <w:sz w:val="48"/>
      <w:szCs w:val="48"/>
    </w:rPr>
  </w:style>
  <w:style w:type="character" w:customStyle="1" w:styleId="46">
    <w:name w:val="Subtitle Char"/>
    <w:basedOn w:val="28"/>
    <w:link w:val="22"/>
    <w:qFormat/>
    <w:uiPriority w:val="11"/>
    <w:rPr>
      <w:sz w:val="24"/>
      <w:szCs w:val="24"/>
    </w:rPr>
  </w:style>
  <w:style w:type="paragraph" w:styleId="47">
    <w:name w:val="Quote"/>
    <w:basedOn w:val="1"/>
    <w:next w:val="1"/>
    <w:link w:val="48"/>
    <w:qFormat/>
    <w:uiPriority w:val="29"/>
    <w:pPr>
      <w:ind w:left="720" w:right="720"/>
    </w:pPr>
    <w:rPr>
      <w:i/>
    </w:rPr>
  </w:style>
  <w:style w:type="character" w:customStyle="1" w:styleId="48">
    <w:name w:val="Quote Char"/>
    <w:link w:val="47"/>
    <w:qFormat/>
    <w:uiPriority w:val="29"/>
    <w:rPr>
      <w:i/>
    </w:rPr>
  </w:style>
  <w:style w:type="paragraph" w:styleId="49">
    <w:name w:val="Intense Quote"/>
    <w:basedOn w:val="1"/>
    <w:next w:val="1"/>
    <w:link w:val="50"/>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contextualSpacing w:val="0"/>
    </w:pPr>
    <w:rPr>
      <w:i/>
    </w:rPr>
  </w:style>
  <w:style w:type="character" w:customStyle="1" w:styleId="50">
    <w:name w:val="Intense Quote Char"/>
    <w:link w:val="49"/>
    <w:qFormat/>
    <w:uiPriority w:val="30"/>
    <w:rPr>
      <w:i/>
    </w:rPr>
  </w:style>
  <w:style w:type="character" w:customStyle="1" w:styleId="51">
    <w:name w:val="Header Char"/>
    <w:basedOn w:val="28"/>
    <w:qFormat/>
    <w:uiPriority w:val="99"/>
  </w:style>
  <w:style w:type="character" w:customStyle="1" w:styleId="52">
    <w:name w:val="Footer Char"/>
    <w:basedOn w:val="28"/>
    <w:qFormat/>
    <w:uiPriority w:val="99"/>
  </w:style>
  <w:style w:type="table" w:customStyle="1" w:styleId="53">
    <w:name w:val="Lined"/>
    <w:basedOn w:val="32"/>
    <w:qFormat/>
    <w:uiPriority w:val="99"/>
    <w:pPr>
      <w:spacing w:after="0" w:line="240" w:lineRule="auto"/>
    </w:pPr>
    <w:rPr>
      <w:color w:val="404040"/>
    </w:rPr>
    <w:tblPr>
      <w:tblLayout w:type="fixed"/>
      <w:tblCellMar>
        <w:top w:w="96" w:type="dxa"/>
        <w:left w:w="170" w:type="dxa"/>
        <w:bottom w:w="96" w:type="dxa"/>
        <w:right w:w="170" w:type="dxa"/>
      </w:tblCellMar>
    </w:tblPr>
    <w:tblStylePr w:type="firstRow">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tblStylePr w:type="firstCol">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band1Vert">
      <w:rPr>
        <w:rFonts w:ascii="Arial" w:hAnsi="Arial"/>
        <w:color w:val="404040"/>
        <w:sz w:val="22"/>
      </w:rPr>
    </w:tblStylePr>
    <w:tblStylePr w:type="band2Vert">
      <w:rPr>
        <w:rFonts w:ascii="Arial" w:hAnsi="Arial"/>
        <w:color w:val="404040"/>
        <w:sz w:val="22"/>
      </w:rPr>
      <w:tcPr>
        <w:shd w:val="clear" w:color="auto" w:fill="F2F2F2"/>
      </w:tcPr>
    </w:tblStylePr>
    <w:tblStylePr w:type="band1Horz">
      <w:rPr>
        <w:rFonts w:ascii="Arial" w:hAnsi="Arial"/>
        <w:color w:val="404040"/>
        <w:sz w:val="22"/>
      </w:rPr>
    </w:tblStylePr>
    <w:tblStylePr w:type="band2Horz">
      <w:rPr>
        <w:rFonts w:ascii="Arial" w:hAnsi="Arial"/>
        <w:color w:val="404040"/>
        <w:sz w:val="22"/>
      </w:rPr>
      <w:tcPr>
        <w:shd w:val="clear" w:color="auto" w:fill="F2F2F2"/>
      </w:tcPr>
    </w:tblStylePr>
  </w:style>
  <w:style w:type="table" w:customStyle="1" w:styleId="54">
    <w:name w:val="Lined - Accent 1"/>
    <w:basedOn w:val="32"/>
    <w:qFormat/>
    <w:uiPriority w:val="99"/>
    <w:pPr>
      <w:spacing w:after="0" w:line="240" w:lineRule="auto"/>
    </w:pPr>
    <w:rPr>
      <w:color w:val="404040"/>
    </w:rPr>
    <w:tblPr>
      <w:tblLayout w:type="fixed"/>
      <w:tblCellMar>
        <w:top w:w="96" w:type="dxa"/>
        <w:left w:w="170" w:type="dxa"/>
        <w:bottom w:w="96" w:type="dxa"/>
        <w:right w:w="170" w:type="dxa"/>
      </w:tblCellMar>
    </w:tblPr>
    <w:tblStylePr w:type="firstRow">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tblStylePr w:type="firstCol">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band1Vert">
      <w:rPr>
        <w:rFonts w:ascii="Arial" w:hAnsi="Arial"/>
        <w:color w:val="404040"/>
        <w:sz w:val="22"/>
      </w:rPr>
    </w:tblStylePr>
    <w:tblStylePr w:type="band2Vert">
      <w:rPr>
        <w:rFonts w:ascii="Arial" w:hAnsi="Arial"/>
        <w:color w:val="404040"/>
        <w:sz w:val="22"/>
      </w:rPr>
      <w:tcPr>
        <w:shd w:val="clear" w:color="auto" w:fill="C6D9F1"/>
      </w:tcPr>
    </w:tblStylePr>
    <w:tblStylePr w:type="band1Horz">
      <w:rPr>
        <w:rFonts w:ascii="Arial" w:hAnsi="Arial"/>
        <w:color w:val="404040"/>
        <w:sz w:val="22"/>
      </w:rPr>
    </w:tblStylePr>
    <w:tblStylePr w:type="band2Horz">
      <w:rPr>
        <w:rFonts w:ascii="Arial" w:hAnsi="Arial"/>
        <w:color w:val="404040"/>
        <w:sz w:val="22"/>
      </w:rPr>
      <w:tcPr>
        <w:shd w:val="clear" w:color="auto" w:fill="C6D9F1"/>
      </w:tcPr>
    </w:tblStylePr>
  </w:style>
  <w:style w:type="table" w:customStyle="1" w:styleId="55">
    <w:name w:val="Lined - Accent 2"/>
    <w:basedOn w:val="32"/>
    <w:qFormat/>
    <w:uiPriority w:val="99"/>
    <w:pPr>
      <w:spacing w:after="0" w:line="240" w:lineRule="auto"/>
    </w:pPr>
    <w:rPr>
      <w:color w:val="404040"/>
    </w:rPr>
    <w:tblPr>
      <w:tblLayout w:type="fixed"/>
      <w:tblCellMar>
        <w:top w:w="96" w:type="dxa"/>
        <w:left w:w="170" w:type="dxa"/>
        <w:bottom w:w="96" w:type="dxa"/>
        <w:right w:w="170" w:type="dxa"/>
      </w:tblCellMar>
    </w:tblPr>
    <w:tblStylePr w:type="firstRow">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tblStylePr w:type="firstCol">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band1Vert">
      <w:rPr>
        <w:rFonts w:ascii="Arial" w:hAnsi="Arial"/>
        <w:color w:val="404040"/>
        <w:sz w:val="22"/>
      </w:rPr>
    </w:tblStylePr>
    <w:tblStylePr w:type="band2Vert">
      <w:rPr>
        <w:rFonts w:ascii="Arial" w:hAnsi="Arial"/>
        <w:color w:val="404040"/>
        <w:sz w:val="22"/>
      </w:rPr>
      <w:tcPr>
        <w:shd w:val="clear" w:color="auto" w:fill="F2DBDB"/>
      </w:tcPr>
    </w:tblStylePr>
    <w:tblStylePr w:type="band1Horz">
      <w:rPr>
        <w:rFonts w:ascii="Arial" w:hAnsi="Arial"/>
        <w:color w:val="404040"/>
        <w:sz w:val="22"/>
      </w:rPr>
    </w:tblStylePr>
    <w:tblStylePr w:type="band2Horz">
      <w:rPr>
        <w:rFonts w:ascii="Arial" w:hAnsi="Arial"/>
        <w:color w:val="404040"/>
        <w:sz w:val="22"/>
      </w:rPr>
      <w:tcPr>
        <w:shd w:val="clear" w:color="auto" w:fill="F2DBDB"/>
      </w:tcPr>
    </w:tblStylePr>
  </w:style>
  <w:style w:type="table" w:customStyle="1" w:styleId="56">
    <w:name w:val="Lined - Accent 3"/>
    <w:basedOn w:val="32"/>
    <w:qFormat/>
    <w:uiPriority w:val="99"/>
    <w:pPr>
      <w:spacing w:after="0" w:line="240" w:lineRule="auto"/>
    </w:pPr>
    <w:rPr>
      <w:color w:val="404040"/>
    </w:rPr>
    <w:tblPr>
      <w:tblLayout w:type="fixed"/>
      <w:tblCellMar>
        <w:top w:w="96" w:type="dxa"/>
        <w:left w:w="170" w:type="dxa"/>
        <w:bottom w:w="96" w:type="dxa"/>
        <w:right w:w="170" w:type="dxa"/>
      </w:tblCellMar>
    </w:tblPr>
    <w:tblStylePr w:type="firstRow">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tblStylePr w:type="firstCol">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band1Vert">
      <w:rPr>
        <w:rFonts w:ascii="Arial" w:hAnsi="Arial"/>
        <w:color w:val="404040"/>
        <w:sz w:val="22"/>
      </w:rPr>
    </w:tblStylePr>
    <w:tblStylePr w:type="band2Vert">
      <w:rPr>
        <w:rFonts w:ascii="Arial" w:hAnsi="Arial"/>
        <w:color w:val="404040"/>
        <w:sz w:val="22"/>
      </w:rPr>
      <w:tcPr>
        <w:shd w:val="clear" w:color="auto" w:fill="EAF1DD"/>
      </w:tcPr>
    </w:tblStylePr>
    <w:tblStylePr w:type="band1Horz">
      <w:rPr>
        <w:rFonts w:ascii="Arial" w:hAnsi="Arial"/>
        <w:color w:val="404040"/>
        <w:sz w:val="22"/>
      </w:rPr>
    </w:tblStylePr>
    <w:tblStylePr w:type="band2Horz">
      <w:rPr>
        <w:rFonts w:ascii="Arial" w:hAnsi="Arial"/>
        <w:color w:val="404040"/>
        <w:sz w:val="22"/>
      </w:rPr>
      <w:tcPr>
        <w:shd w:val="clear" w:color="auto" w:fill="EAF1DD"/>
      </w:tcPr>
    </w:tblStylePr>
  </w:style>
  <w:style w:type="table" w:customStyle="1" w:styleId="57">
    <w:name w:val="Lined - Accent 4"/>
    <w:basedOn w:val="32"/>
    <w:qFormat/>
    <w:uiPriority w:val="99"/>
    <w:pPr>
      <w:spacing w:after="0" w:line="240" w:lineRule="auto"/>
    </w:pPr>
    <w:rPr>
      <w:color w:val="404040"/>
    </w:rPr>
    <w:tblPr>
      <w:tblLayout w:type="fixed"/>
      <w:tblCellMar>
        <w:top w:w="96" w:type="dxa"/>
        <w:left w:w="170" w:type="dxa"/>
        <w:bottom w:w="96" w:type="dxa"/>
        <w:right w:w="170" w:type="dxa"/>
      </w:tblCellMar>
    </w:tblPr>
    <w:tblStylePr w:type="firstRow">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tblStylePr w:type="firstCol">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band1Vert">
      <w:rPr>
        <w:rFonts w:ascii="Arial" w:hAnsi="Arial"/>
        <w:color w:val="404040"/>
        <w:sz w:val="22"/>
      </w:rPr>
    </w:tblStylePr>
    <w:tblStylePr w:type="band2Vert">
      <w:rPr>
        <w:rFonts w:ascii="Arial" w:hAnsi="Arial"/>
        <w:color w:val="404040"/>
        <w:sz w:val="22"/>
      </w:rPr>
      <w:tcPr>
        <w:shd w:val="clear" w:color="auto" w:fill="E5DFEC"/>
      </w:tcPr>
    </w:tblStylePr>
    <w:tblStylePr w:type="band1Horz">
      <w:rPr>
        <w:rFonts w:ascii="Arial" w:hAnsi="Arial"/>
        <w:color w:val="404040"/>
        <w:sz w:val="22"/>
      </w:rPr>
    </w:tblStylePr>
    <w:tblStylePr w:type="band2Horz">
      <w:rPr>
        <w:rFonts w:ascii="Arial" w:hAnsi="Arial"/>
        <w:color w:val="404040"/>
        <w:sz w:val="22"/>
      </w:rPr>
      <w:tcPr>
        <w:shd w:val="clear" w:color="auto" w:fill="E5DFEC"/>
      </w:tcPr>
    </w:tblStylePr>
  </w:style>
  <w:style w:type="table" w:customStyle="1" w:styleId="58">
    <w:name w:val="Lined - Accent 5"/>
    <w:basedOn w:val="32"/>
    <w:uiPriority w:val="99"/>
    <w:pPr>
      <w:spacing w:after="0" w:line="240" w:lineRule="auto"/>
    </w:pPr>
    <w:rPr>
      <w:color w:val="404040"/>
    </w:rPr>
    <w:tblPr>
      <w:tblLayout w:type="fixed"/>
      <w:tblCellMar>
        <w:top w:w="96" w:type="dxa"/>
        <w:left w:w="170" w:type="dxa"/>
        <w:bottom w:w="96" w:type="dxa"/>
        <w:right w:w="170" w:type="dxa"/>
      </w:tblCellMar>
    </w:tblPr>
    <w:tblStylePr w:type="firstRow">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tblStylePr w:type="firstCol">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band1Vert">
      <w:rPr>
        <w:rFonts w:ascii="Arial" w:hAnsi="Arial"/>
        <w:color w:val="404040"/>
        <w:sz w:val="22"/>
      </w:rPr>
    </w:tblStylePr>
    <w:tblStylePr w:type="band2Vert">
      <w:rPr>
        <w:rFonts w:ascii="Arial" w:hAnsi="Arial"/>
        <w:color w:val="404040"/>
        <w:sz w:val="22"/>
      </w:rPr>
      <w:tcPr>
        <w:shd w:val="clear" w:color="auto" w:fill="DAEEF3"/>
      </w:tcPr>
    </w:tblStylePr>
    <w:tblStylePr w:type="band1Horz">
      <w:rPr>
        <w:rFonts w:ascii="Arial" w:hAnsi="Arial"/>
        <w:color w:val="404040"/>
        <w:sz w:val="22"/>
      </w:rPr>
    </w:tblStylePr>
    <w:tblStylePr w:type="band2Horz">
      <w:rPr>
        <w:rFonts w:ascii="Arial" w:hAnsi="Arial"/>
        <w:color w:val="404040"/>
        <w:sz w:val="22"/>
      </w:rPr>
      <w:tcPr>
        <w:shd w:val="clear" w:color="auto" w:fill="DAEEF3"/>
      </w:tcPr>
    </w:tblStylePr>
  </w:style>
  <w:style w:type="table" w:customStyle="1" w:styleId="59">
    <w:name w:val="Lined - Accent 6"/>
    <w:basedOn w:val="32"/>
    <w:qFormat/>
    <w:uiPriority w:val="99"/>
    <w:pPr>
      <w:spacing w:after="0" w:line="240" w:lineRule="auto"/>
    </w:pPr>
    <w:rPr>
      <w:color w:val="404040"/>
    </w:rPr>
    <w:tblPr>
      <w:tblLayout w:type="fixed"/>
      <w:tblCellMar>
        <w:top w:w="96" w:type="dxa"/>
        <w:left w:w="170" w:type="dxa"/>
        <w:bottom w:w="96" w:type="dxa"/>
        <w:right w:w="170" w:type="dxa"/>
      </w:tblCellMar>
    </w:tblPr>
    <w:tblStylePr w:type="firstRow">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tblStylePr w:type="firstCol">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band1Vert">
      <w:rPr>
        <w:rFonts w:ascii="Arial" w:hAnsi="Arial"/>
        <w:color w:val="404040"/>
        <w:sz w:val="22"/>
      </w:rPr>
    </w:tblStylePr>
    <w:tblStylePr w:type="band2Vert">
      <w:rPr>
        <w:rFonts w:ascii="Arial" w:hAnsi="Arial"/>
        <w:color w:val="404040"/>
        <w:sz w:val="22"/>
      </w:rPr>
      <w:tcPr>
        <w:shd w:val="clear" w:color="auto" w:fill="FDE9D9"/>
      </w:tcPr>
    </w:tblStylePr>
    <w:tblStylePr w:type="band1Horz">
      <w:rPr>
        <w:rFonts w:ascii="Arial" w:hAnsi="Arial"/>
        <w:color w:val="404040"/>
        <w:sz w:val="22"/>
      </w:rPr>
    </w:tblStylePr>
    <w:tblStylePr w:type="band2Horz">
      <w:rPr>
        <w:rFonts w:ascii="Arial" w:hAnsi="Arial"/>
        <w:color w:val="404040"/>
        <w:sz w:val="22"/>
      </w:rPr>
      <w:tcPr>
        <w:shd w:val="clear" w:color="auto" w:fill="FDE9D9"/>
      </w:tcPr>
    </w:tblStylePr>
  </w:style>
  <w:style w:type="table" w:customStyle="1" w:styleId="60">
    <w:name w:val="Bordered"/>
    <w:basedOn w:val="32"/>
    <w:qFormat/>
    <w:uiPriority w:val="99"/>
    <w:pPr>
      <w:spacing w:after="0" w:line="240" w:lineRule="auto"/>
    </w:pPr>
    <w:tblPr>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CellMar>
        <w:top w:w="96" w:type="dxa"/>
        <w:left w:w="170" w:type="dxa"/>
        <w:bottom w:w="96" w:type="dxa"/>
        <w:right w:w="170" w:type="dxa"/>
      </w:tblCellMar>
    </w:tblPr>
    <w:tblStylePr w:type="firstRow">
      <w:rPr>
        <w:rFonts w:ascii="Arial" w:hAnsi="Arial"/>
        <w:color w:val="404040"/>
        <w:sz w:val="22"/>
      </w:rPr>
      <w:tcPr>
        <w:tcBorders>
          <w:bottom w:val="single" w:color="7F7F7F" w:sz="12" w:space="0"/>
        </w:tcBorders>
      </w:tcPr>
    </w:tblStylePr>
    <w:tblStylePr w:type="lastRow">
      <w:rPr>
        <w:rFonts w:ascii="Arial" w:hAnsi="Arial"/>
        <w:color w:val="404040"/>
        <w:sz w:val="22"/>
      </w:rPr>
      <w:tcPr>
        <w:tcBorders>
          <w:top w:val="single" w:color="7F7F7F" w:sz="12" w:space="0"/>
        </w:tcBorders>
      </w:tcPr>
    </w:tblStylePr>
    <w:tblStylePr w:type="firstCol">
      <w:rPr>
        <w:rFonts w:ascii="Arial" w:hAnsi="Arial"/>
        <w:color w:val="404040"/>
        <w:sz w:val="22"/>
      </w:rPr>
      <w:tcPr>
        <w:tcBorders>
          <w:right w:val="single" w:color="7F7F7F" w:sz="12" w:space="0"/>
        </w:tcBorders>
      </w:tcPr>
    </w:tblStylePr>
    <w:tblStylePr w:type="lastCol">
      <w:rPr>
        <w:rFonts w:ascii="Arial" w:hAnsi="Arial"/>
        <w:color w:val="404040"/>
        <w:sz w:val="22"/>
      </w:rPr>
      <w:tcPr>
        <w:tcBorders>
          <w:left w:val="single" w:color="7F7F7F" w:sz="12" w:space="0"/>
        </w:tcBorders>
      </w:tcPr>
    </w:tblStylePr>
    <w:tblStylePr w:type="band1Horz">
      <w:rPr>
        <w:rFonts w:ascii="Arial" w:hAnsi="Arial"/>
        <w:color w:val="404040"/>
        <w:sz w:val="22"/>
      </w:rPr>
      <w:tcPr>
        <w:tcBorders>
          <w:top w:val="single" w:color="D9D9D9" w:sz="4" w:space="0"/>
          <w:left w:val="single" w:color="D9D9D9" w:sz="4" w:space="0"/>
          <w:bottom w:val="single" w:color="D9D9D9" w:sz="4" w:space="0"/>
          <w:right w:val="single" w:color="D9D9D9" w:sz="4" w:space="0"/>
        </w:tcBorders>
      </w:tcPr>
    </w:tblStylePr>
  </w:style>
  <w:style w:type="table" w:customStyle="1" w:styleId="61">
    <w:name w:val="Bordered - Accent 1"/>
    <w:basedOn w:val="32"/>
    <w:qFormat/>
    <w:uiPriority w:val="99"/>
    <w:pPr>
      <w:spacing w:after="0" w:line="240" w:lineRule="auto"/>
    </w:pPr>
    <w:tblPr>
      <w:tblBorders>
        <w:top w:val="single" w:color="B8CCE4" w:sz="4" w:space="0"/>
        <w:left w:val="single" w:color="B8CCE4" w:sz="4" w:space="0"/>
        <w:bottom w:val="single" w:color="B8CCE4" w:sz="4" w:space="0"/>
        <w:right w:val="single" w:color="B8CCE4" w:sz="4" w:space="0"/>
        <w:insideH w:val="single" w:color="B8CCE4" w:sz="4" w:space="0"/>
        <w:insideV w:val="single" w:color="B8CCE4" w:sz="4" w:space="0"/>
      </w:tblBorders>
      <w:tblLayout w:type="fixed"/>
      <w:tblCellMar>
        <w:top w:w="96" w:type="dxa"/>
        <w:left w:w="170" w:type="dxa"/>
        <w:bottom w:w="96" w:type="dxa"/>
        <w:right w:w="170" w:type="dxa"/>
      </w:tblCellMar>
    </w:tblPr>
    <w:tblStylePr w:type="firstRow">
      <w:rPr>
        <w:rFonts w:ascii="Arial" w:hAnsi="Arial"/>
        <w:color w:val="404040"/>
        <w:sz w:val="22"/>
      </w:rPr>
      <w:tcPr>
        <w:tcBorders>
          <w:bottom w:val="single" w:color="4F81BD" w:sz="12" w:space="0"/>
        </w:tcBorders>
      </w:tcPr>
    </w:tblStylePr>
    <w:tblStylePr w:type="lastRow">
      <w:rPr>
        <w:rFonts w:ascii="Arial" w:hAnsi="Arial"/>
        <w:color w:val="404040"/>
        <w:sz w:val="22"/>
      </w:rPr>
      <w:tcPr>
        <w:tcBorders>
          <w:top w:val="single" w:color="4F81BD" w:sz="12" w:space="0"/>
        </w:tcBorders>
      </w:tcPr>
    </w:tblStylePr>
    <w:tblStylePr w:type="firstCol">
      <w:rPr>
        <w:rFonts w:ascii="Arial" w:hAnsi="Arial"/>
        <w:color w:val="404040"/>
        <w:sz w:val="22"/>
      </w:rPr>
      <w:tcPr>
        <w:tcBorders>
          <w:right w:val="single" w:color="4F81BD" w:sz="12" w:space="0"/>
        </w:tcBorders>
      </w:tcPr>
    </w:tblStylePr>
    <w:tblStylePr w:type="lastCol">
      <w:rPr>
        <w:rFonts w:ascii="Arial" w:hAnsi="Arial"/>
        <w:color w:val="404040"/>
        <w:sz w:val="22"/>
      </w:rPr>
      <w:tcPr>
        <w:tcBorders>
          <w:left w:val="single" w:color="4F81BD" w:sz="12" w:space="0"/>
        </w:tcBorders>
      </w:tcPr>
    </w:tblStylePr>
    <w:tblStylePr w:type="band1Horz">
      <w:rPr>
        <w:rFonts w:ascii="Arial" w:hAnsi="Arial"/>
        <w:color w:val="404040"/>
        <w:sz w:val="22"/>
      </w:rPr>
      <w:tcPr>
        <w:tcBorders>
          <w:top w:val="single" w:color="B8CCE4" w:sz="4" w:space="0"/>
          <w:left w:val="single" w:color="B8CCE4" w:sz="4" w:space="0"/>
          <w:bottom w:val="single" w:color="B8CCE4" w:sz="4" w:space="0"/>
          <w:right w:val="single" w:color="B8CCE4" w:sz="4" w:space="0"/>
        </w:tcBorders>
      </w:tcPr>
    </w:tblStylePr>
  </w:style>
  <w:style w:type="table" w:customStyle="1" w:styleId="62">
    <w:name w:val="Bordered - Accent 2"/>
    <w:basedOn w:val="32"/>
    <w:qFormat/>
    <w:uiPriority w:val="99"/>
    <w:pPr>
      <w:spacing w:after="0" w:line="240" w:lineRule="auto"/>
    </w:pPr>
    <w:tblPr>
      <w:tblBorders>
        <w:top w:val="single" w:color="E5B8B7" w:sz="4" w:space="0"/>
        <w:left w:val="single" w:color="E5B8B7" w:sz="4" w:space="0"/>
        <w:bottom w:val="single" w:color="E5B8B7" w:sz="4" w:space="0"/>
        <w:right w:val="single" w:color="E5B8B7" w:sz="4" w:space="0"/>
        <w:insideH w:val="single" w:color="E5B8B7" w:sz="4" w:space="0"/>
        <w:insideV w:val="single" w:color="E5B8B7" w:sz="4" w:space="0"/>
      </w:tblBorders>
      <w:tblLayout w:type="fixed"/>
      <w:tblCellMar>
        <w:top w:w="96" w:type="dxa"/>
        <w:left w:w="170" w:type="dxa"/>
        <w:bottom w:w="96" w:type="dxa"/>
        <w:right w:w="170" w:type="dxa"/>
      </w:tblCellMar>
    </w:tblPr>
    <w:tblStylePr w:type="firstRow">
      <w:rPr>
        <w:rFonts w:ascii="Arial" w:hAnsi="Arial"/>
        <w:color w:val="404040"/>
        <w:sz w:val="22"/>
      </w:rPr>
      <w:tcPr>
        <w:tcBorders>
          <w:bottom w:val="single" w:color="D99594" w:sz="12" w:space="0"/>
        </w:tcBorders>
      </w:tcPr>
    </w:tblStylePr>
    <w:tblStylePr w:type="lastRow">
      <w:rPr>
        <w:rFonts w:ascii="Arial" w:hAnsi="Arial"/>
        <w:color w:val="404040"/>
        <w:sz w:val="22"/>
      </w:rPr>
      <w:tcPr>
        <w:tcBorders>
          <w:top w:val="single" w:color="D99594" w:sz="12" w:space="0"/>
        </w:tcBorders>
      </w:tcPr>
    </w:tblStylePr>
    <w:tblStylePr w:type="firstCol">
      <w:rPr>
        <w:rFonts w:ascii="Arial" w:hAnsi="Arial"/>
        <w:color w:val="404040"/>
        <w:sz w:val="22"/>
      </w:rPr>
      <w:tcPr>
        <w:tcBorders>
          <w:right w:val="single" w:color="D99594" w:sz="12" w:space="0"/>
        </w:tcBorders>
      </w:tcPr>
    </w:tblStylePr>
    <w:tblStylePr w:type="lastCol">
      <w:rPr>
        <w:rFonts w:ascii="Arial" w:hAnsi="Arial"/>
        <w:color w:val="404040"/>
        <w:sz w:val="22"/>
      </w:rPr>
      <w:tcPr>
        <w:tcBorders>
          <w:left w:val="single" w:color="D99594" w:sz="12" w:space="0"/>
        </w:tcBorders>
      </w:tcPr>
    </w:tblStylePr>
    <w:tblStylePr w:type="band1Horz">
      <w:rPr>
        <w:rFonts w:ascii="Arial" w:hAnsi="Arial"/>
        <w:color w:val="404040"/>
        <w:sz w:val="22"/>
      </w:rPr>
      <w:tcPr>
        <w:tcBorders>
          <w:top w:val="single" w:color="E5B8B7" w:sz="4" w:space="0"/>
          <w:left w:val="single" w:color="E5B8B7" w:sz="4" w:space="0"/>
          <w:bottom w:val="single" w:color="E5B8B7" w:sz="4" w:space="0"/>
          <w:right w:val="single" w:color="E5B8B7" w:sz="4" w:space="0"/>
        </w:tcBorders>
      </w:tcPr>
    </w:tblStylePr>
  </w:style>
  <w:style w:type="table" w:customStyle="1" w:styleId="63">
    <w:name w:val="Bordered - Accent 3"/>
    <w:basedOn w:val="32"/>
    <w:uiPriority w:val="99"/>
    <w:pPr>
      <w:spacing w:after="0" w:line="240" w:lineRule="auto"/>
    </w:pPr>
    <w:tblPr>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96" w:type="dxa"/>
        <w:left w:w="170" w:type="dxa"/>
        <w:bottom w:w="96" w:type="dxa"/>
        <w:right w:w="170" w:type="dxa"/>
      </w:tblCellMar>
    </w:tblPr>
    <w:tblStylePr w:type="firstRow">
      <w:rPr>
        <w:rFonts w:ascii="Arial" w:hAnsi="Arial"/>
        <w:color w:val="404040"/>
        <w:sz w:val="22"/>
      </w:rPr>
      <w:tcPr>
        <w:tcBorders>
          <w:bottom w:val="single" w:color="C2D69B" w:sz="12" w:space="0"/>
        </w:tcBorders>
      </w:tcPr>
    </w:tblStylePr>
    <w:tblStylePr w:type="lastRow">
      <w:rPr>
        <w:rFonts w:ascii="Arial" w:hAnsi="Arial"/>
        <w:color w:val="404040"/>
        <w:sz w:val="22"/>
      </w:rPr>
      <w:tcPr>
        <w:tcBorders>
          <w:top w:val="single" w:color="C2D69B" w:sz="12" w:space="0"/>
        </w:tcBorders>
      </w:tcPr>
    </w:tblStylePr>
    <w:tblStylePr w:type="firstCol">
      <w:rPr>
        <w:rFonts w:ascii="Arial" w:hAnsi="Arial"/>
        <w:color w:val="404040"/>
        <w:sz w:val="22"/>
      </w:rPr>
      <w:tcPr>
        <w:tcBorders>
          <w:right w:val="single" w:color="C2D69B" w:sz="12" w:space="0"/>
        </w:tcBorders>
      </w:tcPr>
    </w:tblStylePr>
    <w:tblStylePr w:type="lastCol">
      <w:rPr>
        <w:rFonts w:ascii="Arial" w:hAnsi="Arial"/>
        <w:color w:val="404040"/>
        <w:sz w:val="22"/>
      </w:rPr>
      <w:tcPr>
        <w:tcBorders>
          <w:left w:val="single" w:color="C2D69B" w:sz="12" w:space="0"/>
        </w:tcBorders>
      </w:tcPr>
    </w:tblStylePr>
    <w:tblStylePr w:type="band1Horz">
      <w:rPr>
        <w:rFonts w:ascii="Arial" w:hAnsi="Arial"/>
        <w:color w:val="404040"/>
        <w:sz w:val="22"/>
      </w:rPr>
      <w:tcPr>
        <w:tcBorders>
          <w:top w:val="single" w:color="D6E3BC" w:sz="4" w:space="0"/>
          <w:left w:val="single" w:color="D6E3BC" w:sz="4" w:space="0"/>
          <w:bottom w:val="single" w:color="D6E3BC" w:sz="4" w:space="0"/>
          <w:right w:val="single" w:color="D6E3BC" w:sz="4" w:space="0"/>
        </w:tcBorders>
      </w:tcPr>
    </w:tblStylePr>
  </w:style>
  <w:style w:type="table" w:customStyle="1" w:styleId="64">
    <w:name w:val="Bordered - Accent 4"/>
    <w:basedOn w:val="32"/>
    <w:uiPriority w:val="99"/>
    <w:pPr>
      <w:spacing w:after="0" w:line="240" w:lineRule="auto"/>
    </w:pPr>
    <w:tblPr>
      <w:tblBorders>
        <w:top w:val="single" w:color="CCC0D9" w:sz="4" w:space="0"/>
        <w:left w:val="single" w:color="CCC0D9" w:sz="4" w:space="0"/>
        <w:bottom w:val="single" w:color="CCC0D9" w:sz="4" w:space="0"/>
        <w:right w:val="single" w:color="CCC0D9" w:sz="4" w:space="0"/>
        <w:insideH w:val="single" w:color="CCC0D9" w:sz="4" w:space="0"/>
        <w:insideV w:val="single" w:color="CCC0D9" w:sz="4" w:space="0"/>
      </w:tblBorders>
      <w:tblLayout w:type="fixed"/>
      <w:tblCellMar>
        <w:top w:w="96" w:type="dxa"/>
        <w:left w:w="170" w:type="dxa"/>
        <w:bottom w:w="96" w:type="dxa"/>
        <w:right w:w="170" w:type="dxa"/>
      </w:tblCellMar>
    </w:tblPr>
    <w:tblStylePr w:type="firstRow">
      <w:rPr>
        <w:rFonts w:ascii="Arial" w:hAnsi="Arial"/>
        <w:color w:val="404040"/>
        <w:sz w:val="22"/>
      </w:rPr>
      <w:tcPr>
        <w:tcBorders>
          <w:bottom w:val="single" w:color="B2A1C7" w:sz="12" w:space="0"/>
        </w:tcBorders>
      </w:tcPr>
    </w:tblStylePr>
    <w:tblStylePr w:type="lastRow">
      <w:rPr>
        <w:rFonts w:ascii="Arial" w:hAnsi="Arial"/>
        <w:color w:val="404040"/>
        <w:sz w:val="22"/>
      </w:rPr>
      <w:tcPr>
        <w:tcBorders>
          <w:top w:val="single" w:color="B2A1C7" w:sz="12" w:space="0"/>
        </w:tcBorders>
      </w:tcPr>
    </w:tblStylePr>
    <w:tblStylePr w:type="firstCol">
      <w:rPr>
        <w:rFonts w:ascii="Arial" w:hAnsi="Arial"/>
        <w:color w:val="404040"/>
        <w:sz w:val="22"/>
      </w:rPr>
      <w:tcPr>
        <w:tcBorders>
          <w:right w:val="single" w:color="B2A1C7" w:sz="12" w:space="0"/>
        </w:tcBorders>
      </w:tcPr>
    </w:tblStylePr>
    <w:tblStylePr w:type="lastCol">
      <w:rPr>
        <w:rFonts w:ascii="Arial" w:hAnsi="Arial"/>
        <w:color w:val="404040"/>
        <w:sz w:val="22"/>
      </w:rPr>
      <w:tcPr>
        <w:tcBorders>
          <w:left w:val="single" w:color="B2A1C7" w:sz="12" w:space="0"/>
        </w:tcBorders>
      </w:tcPr>
    </w:tblStylePr>
    <w:tblStylePr w:type="band1Horz">
      <w:rPr>
        <w:rFonts w:ascii="Arial" w:hAnsi="Arial"/>
        <w:color w:val="404040"/>
        <w:sz w:val="22"/>
      </w:rPr>
      <w:tcPr>
        <w:tcBorders>
          <w:top w:val="single" w:color="CCC0D9" w:sz="4" w:space="0"/>
          <w:left w:val="single" w:color="CCC0D9" w:sz="4" w:space="0"/>
          <w:bottom w:val="single" w:color="CCC0D9" w:sz="4" w:space="0"/>
          <w:right w:val="single" w:color="CCC0D9" w:sz="4" w:space="0"/>
        </w:tcBorders>
      </w:tcPr>
    </w:tblStylePr>
  </w:style>
  <w:style w:type="table" w:customStyle="1" w:styleId="65">
    <w:name w:val="Bordered - Accent 5"/>
    <w:basedOn w:val="32"/>
    <w:uiPriority w:val="99"/>
    <w:pPr>
      <w:spacing w:after="0" w:line="240" w:lineRule="auto"/>
    </w:pPr>
    <w:tblPr>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Layout w:type="fixed"/>
      <w:tblCellMar>
        <w:top w:w="96" w:type="dxa"/>
        <w:left w:w="170" w:type="dxa"/>
        <w:bottom w:w="96" w:type="dxa"/>
        <w:right w:w="170" w:type="dxa"/>
      </w:tblCellMar>
    </w:tblPr>
    <w:tblStylePr w:type="firstRow">
      <w:rPr>
        <w:rFonts w:ascii="Arial" w:hAnsi="Arial"/>
        <w:color w:val="404040"/>
        <w:sz w:val="22"/>
      </w:rPr>
      <w:tcPr>
        <w:tcBorders>
          <w:bottom w:val="single" w:color="92CDDC" w:sz="12" w:space="0"/>
        </w:tcBorders>
      </w:tcPr>
    </w:tblStylePr>
    <w:tblStylePr w:type="lastRow">
      <w:rPr>
        <w:rFonts w:ascii="Arial" w:hAnsi="Arial"/>
        <w:color w:val="404040"/>
        <w:sz w:val="22"/>
      </w:rPr>
      <w:tcPr>
        <w:tcBorders>
          <w:top w:val="single" w:color="92CDDC" w:sz="12" w:space="0"/>
        </w:tcBorders>
      </w:tcPr>
    </w:tblStylePr>
    <w:tblStylePr w:type="firstCol">
      <w:rPr>
        <w:rFonts w:ascii="Arial" w:hAnsi="Arial"/>
        <w:color w:val="404040"/>
        <w:sz w:val="22"/>
      </w:rPr>
      <w:tcPr>
        <w:tcBorders>
          <w:right w:val="single" w:color="92CDDC" w:sz="12" w:space="0"/>
        </w:tcBorders>
      </w:tcPr>
    </w:tblStylePr>
    <w:tblStylePr w:type="lastCol">
      <w:rPr>
        <w:rFonts w:ascii="Arial" w:hAnsi="Arial"/>
        <w:color w:val="404040"/>
        <w:sz w:val="22"/>
      </w:rPr>
      <w:tcPr>
        <w:tcBorders>
          <w:left w:val="single" w:color="92CDDC" w:sz="12" w:space="0"/>
        </w:tcBorders>
      </w:tcPr>
    </w:tblStylePr>
    <w:tblStylePr w:type="band1Horz">
      <w:rPr>
        <w:rFonts w:ascii="Arial" w:hAnsi="Arial"/>
        <w:color w:val="404040"/>
        <w:sz w:val="22"/>
      </w:rPr>
      <w:tcPr>
        <w:tcBorders>
          <w:top w:val="single" w:color="B6DDE8" w:sz="4" w:space="0"/>
          <w:left w:val="single" w:color="B6DDE8" w:sz="4" w:space="0"/>
          <w:bottom w:val="single" w:color="B6DDE8" w:sz="4" w:space="0"/>
          <w:right w:val="single" w:color="B6DDE8" w:sz="4" w:space="0"/>
        </w:tcBorders>
      </w:tcPr>
    </w:tblStylePr>
  </w:style>
  <w:style w:type="table" w:customStyle="1" w:styleId="66">
    <w:name w:val="Bordered - Accent 6"/>
    <w:basedOn w:val="32"/>
    <w:uiPriority w:val="99"/>
    <w:pPr>
      <w:spacing w:after="0" w:line="240" w:lineRule="auto"/>
    </w:p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Layout w:type="fixed"/>
      <w:tblCellMar>
        <w:top w:w="96" w:type="dxa"/>
        <w:left w:w="170" w:type="dxa"/>
        <w:bottom w:w="96" w:type="dxa"/>
        <w:right w:w="170" w:type="dxa"/>
      </w:tblCellMar>
    </w:tblPr>
    <w:tblStylePr w:type="firstRow">
      <w:rPr>
        <w:rFonts w:ascii="Arial" w:hAnsi="Arial"/>
        <w:color w:val="404040"/>
        <w:sz w:val="22"/>
      </w:rPr>
      <w:tcPr>
        <w:tcBorders>
          <w:bottom w:val="single" w:color="FABF8F" w:sz="12" w:space="0"/>
        </w:tcBorders>
      </w:tcPr>
    </w:tblStylePr>
    <w:tblStylePr w:type="lastRow">
      <w:rPr>
        <w:rFonts w:ascii="Arial" w:hAnsi="Arial"/>
        <w:color w:val="404040"/>
        <w:sz w:val="22"/>
      </w:rPr>
      <w:tcPr>
        <w:tcBorders>
          <w:top w:val="single" w:color="FABF8F" w:sz="12" w:space="0"/>
        </w:tcBorders>
      </w:tcPr>
    </w:tblStylePr>
    <w:tblStylePr w:type="firstCol">
      <w:rPr>
        <w:rFonts w:ascii="Arial" w:hAnsi="Arial"/>
        <w:color w:val="404040"/>
        <w:sz w:val="22"/>
      </w:rPr>
      <w:tcPr>
        <w:tcBorders>
          <w:right w:val="single" w:color="FABF8F" w:sz="12" w:space="0"/>
        </w:tcBorders>
      </w:tcPr>
    </w:tblStylePr>
    <w:tblStylePr w:type="lastCol">
      <w:rPr>
        <w:rFonts w:ascii="Arial" w:hAnsi="Arial"/>
        <w:color w:val="404040"/>
        <w:sz w:val="22"/>
      </w:rPr>
      <w:tcPr>
        <w:tcBorders>
          <w:left w:val="single" w:color="FABF8F" w:sz="12" w:space="0"/>
        </w:tcBorders>
      </w:tcPr>
    </w:tblStylePr>
    <w:tblStylePr w:type="band1Horz">
      <w:rPr>
        <w:rFonts w:ascii="Arial" w:hAnsi="Arial"/>
        <w:color w:val="404040"/>
        <w:sz w:val="22"/>
      </w:rPr>
      <w:tcPr>
        <w:tcBorders>
          <w:top w:val="single" w:color="FBD4B4" w:sz="4" w:space="0"/>
          <w:left w:val="single" w:color="FBD4B4" w:sz="4" w:space="0"/>
          <w:bottom w:val="single" w:color="FBD4B4" w:sz="4" w:space="0"/>
          <w:right w:val="single" w:color="FBD4B4" w:sz="4" w:space="0"/>
        </w:tcBorders>
      </w:tcPr>
    </w:tblStylePr>
  </w:style>
  <w:style w:type="table" w:customStyle="1" w:styleId="67">
    <w:name w:val="Bordered &amp; Lined"/>
    <w:basedOn w:val="32"/>
    <w:qFormat/>
    <w:uiPriority w:val="99"/>
    <w:pPr>
      <w:spacing w:after="0" w:line="240" w:lineRule="auto"/>
    </w:pPr>
    <w:rPr>
      <w:color w:val="404040"/>
    </w:rPr>
    <w:tblPr>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Layout w:type="fixed"/>
      <w:tblCellMar>
        <w:top w:w="96" w:type="dxa"/>
        <w:left w:w="170" w:type="dxa"/>
        <w:bottom w:w="96" w:type="dxa"/>
        <w:right w:w="170" w:type="dxa"/>
      </w:tblCellMar>
    </w:tblPr>
    <w:tblStylePr w:type="firstRow">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tblStylePr w:type="firstCol">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band1Vert">
      <w:rPr>
        <w:rFonts w:ascii="Arial" w:hAnsi="Arial"/>
        <w:color w:val="404040"/>
        <w:sz w:val="22"/>
      </w:rPr>
    </w:tblStylePr>
    <w:tblStylePr w:type="band2Vert">
      <w:rPr>
        <w:rFonts w:ascii="Arial" w:hAnsi="Arial"/>
        <w:color w:val="404040"/>
        <w:sz w:val="22"/>
      </w:rPr>
      <w:tcPr>
        <w:shd w:val="clear" w:color="auto" w:fill="D9D9D9"/>
      </w:tcPr>
    </w:tblStylePr>
    <w:tblStylePr w:type="band1Horz">
      <w:rPr>
        <w:rFonts w:ascii="Arial" w:hAnsi="Arial"/>
        <w:color w:val="404040"/>
        <w:sz w:val="22"/>
      </w:rPr>
    </w:tblStylePr>
    <w:tblStylePr w:type="band2Horz">
      <w:rPr>
        <w:rFonts w:ascii="Arial" w:hAnsi="Arial"/>
        <w:color w:val="404040"/>
        <w:sz w:val="22"/>
      </w:rPr>
      <w:tcPr>
        <w:shd w:val="clear" w:color="auto" w:fill="F2F2F2"/>
      </w:tcPr>
    </w:tblStylePr>
  </w:style>
  <w:style w:type="table" w:customStyle="1" w:styleId="68">
    <w:name w:val="Bordered &amp; Lined - Accent 1"/>
    <w:basedOn w:val="32"/>
    <w:uiPriority w:val="99"/>
    <w:pPr>
      <w:spacing w:after="0" w:line="240" w:lineRule="auto"/>
    </w:pPr>
    <w:rPr>
      <w:color w:val="404040"/>
    </w:rPr>
    <w:tblPr>
      <w:tblBorders>
        <w:top w:val="single" w:color="1F497D" w:sz="4" w:space="0"/>
        <w:left w:val="single" w:color="1F497D" w:sz="4" w:space="0"/>
        <w:bottom w:val="single" w:color="1F497D" w:sz="4" w:space="0"/>
        <w:right w:val="single" w:color="1F497D" w:sz="4" w:space="0"/>
        <w:insideH w:val="single" w:color="1F497D" w:sz="4" w:space="0"/>
        <w:insideV w:val="single" w:color="1F497D" w:sz="4" w:space="0"/>
      </w:tblBorders>
      <w:tblLayout w:type="fixed"/>
      <w:tblCellMar>
        <w:top w:w="96" w:type="dxa"/>
        <w:left w:w="170" w:type="dxa"/>
        <w:bottom w:w="96" w:type="dxa"/>
        <w:right w:w="170" w:type="dxa"/>
      </w:tblCellMar>
    </w:tblPr>
    <w:tblStylePr w:type="firstRow">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tblStylePr w:type="firstCol">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band1Vert">
      <w:rPr>
        <w:rFonts w:ascii="Arial" w:hAnsi="Arial"/>
        <w:color w:val="404040"/>
        <w:sz w:val="22"/>
      </w:rPr>
    </w:tblStylePr>
    <w:tblStylePr w:type="band2Vert">
      <w:rPr>
        <w:rFonts w:ascii="Arial" w:hAnsi="Arial"/>
        <w:color w:val="404040"/>
        <w:sz w:val="22"/>
      </w:rPr>
      <w:tcPr>
        <w:shd w:val="clear" w:color="auto" w:fill="C6D9F1"/>
      </w:tcPr>
    </w:tblStylePr>
    <w:tblStylePr w:type="band1Horz">
      <w:rPr>
        <w:rFonts w:ascii="Arial" w:hAnsi="Arial"/>
        <w:color w:val="404040"/>
        <w:sz w:val="22"/>
      </w:rPr>
    </w:tblStylePr>
    <w:tblStylePr w:type="band2Horz">
      <w:rPr>
        <w:rFonts w:ascii="Arial" w:hAnsi="Arial"/>
        <w:color w:val="404040"/>
        <w:sz w:val="22"/>
      </w:rPr>
      <w:tcPr>
        <w:shd w:val="clear" w:color="auto" w:fill="C6D9F1"/>
      </w:tcPr>
    </w:tblStylePr>
  </w:style>
  <w:style w:type="table" w:customStyle="1" w:styleId="69">
    <w:name w:val="Bordered &amp; Lined - Accent 2"/>
    <w:basedOn w:val="32"/>
    <w:qFormat/>
    <w:uiPriority w:val="99"/>
    <w:pPr>
      <w:spacing w:after="0" w:line="240" w:lineRule="auto"/>
    </w:pPr>
    <w:rPr>
      <w:color w:val="404040"/>
    </w:rPr>
    <w:tblPr>
      <w:tblBorders>
        <w:top w:val="single" w:color="C0504D" w:sz="4" w:space="0"/>
        <w:left w:val="single" w:color="C0504D" w:sz="4" w:space="0"/>
        <w:bottom w:val="single" w:color="C0504D" w:sz="4" w:space="0"/>
        <w:right w:val="single" w:color="C0504D" w:sz="4" w:space="0"/>
        <w:insideH w:val="single" w:color="C0504D" w:sz="4" w:space="0"/>
        <w:insideV w:val="single" w:color="C0504D" w:sz="4" w:space="0"/>
      </w:tblBorders>
      <w:tblLayout w:type="fixed"/>
      <w:tblCellMar>
        <w:top w:w="96" w:type="dxa"/>
        <w:left w:w="170" w:type="dxa"/>
        <w:bottom w:w="96" w:type="dxa"/>
        <w:right w:w="170" w:type="dxa"/>
      </w:tblCellMar>
    </w:tblPr>
    <w:tblStylePr w:type="firstRow">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tblStylePr w:type="firstCol">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band1Vert">
      <w:rPr>
        <w:rFonts w:ascii="Arial" w:hAnsi="Arial"/>
        <w:color w:val="404040"/>
        <w:sz w:val="22"/>
      </w:rPr>
    </w:tblStylePr>
    <w:tblStylePr w:type="band2Vert">
      <w:rPr>
        <w:rFonts w:ascii="Arial" w:hAnsi="Arial"/>
        <w:color w:val="404040"/>
        <w:sz w:val="22"/>
      </w:rPr>
      <w:tcPr>
        <w:shd w:val="clear" w:color="auto" w:fill="F2DBDB"/>
      </w:tcPr>
    </w:tblStylePr>
    <w:tblStylePr w:type="band1Horz">
      <w:rPr>
        <w:rFonts w:ascii="Arial" w:hAnsi="Arial"/>
        <w:color w:val="404040"/>
        <w:sz w:val="22"/>
      </w:rPr>
    </w:tblStylePr>
    <w:tblStylePr w:type="band2Horz">
      <w:rPr>
        <w:rFonts w:ascii="Arial" w:hAnsi="Arial"/>
        <w:color w:val="404040"/>
        <w:sz w:val="22"/>
      </w:rPr>
      <w:tcPr>
        <w:shd w:val="clear" w:color="auto" w:fill="F2DBDB"/>
      </w:tcPr>
    </w:tblStylePr>
  </w:style>
  <w:style w:type="table" w:customStyle="1" w:styleId="70">
    <w:name w:val="Bordered &amp; Lined - Accent 3"/>
    <w:basedOn w:val="32"/>
    <w:uiPriority w:val="99"/>
    <w:pPr>
      <w:spacing w:after="0" w:line="240" w:lineRule="auto"/>
    </w:pPr>
    <w:rPr>
      <w:color w:val="404040"/>
    </w:rPr>
    <w:tblPr>
      <w:tblBorders>
        <w:top w:val="single" w:color="76923C" w:sz="4" w:space="0"/>
        <w:left w:val="single" w:color="76923C" w:sz="4" w:space="0"/>
        <w:bottom w:val="single" w:color="76923C" w:sz="4" w:space="0"/>
        <w:right w:val="single" w:color="76923C" w:sz="4" w:space="0"/>
        <w:insideH w:val="single" w:color="76923C" w:sz="4" w:space="0"/>
        <w:insideV w:val="single" w:color="76923C" w:sz="4" w:space="0"/>
      </w:tblBorders>
      <w:tblLayout w:type="fixed"/>
      <w:tblCellMar>
        <w:top w:w="96" w:type="dxa"/>
        <w:left w:w="170" w:type="dxa"/>
        <w:bottom w:w="96" w:type="dxa"/>
        <w:right w:w="170" w:type="dxa"/>
      </w:tblCellMar>
    </w:tblPr>
    <w:tblStylePr w:type="firstRow">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tblStylePr w:type="firstCol">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band1Vert">
      <w:rPr>
        <w:rFonts w:ascii="Arial" w:hAnsi="Arial"/>
        <w:color w:val="404040"/>
        <w:sz w:val="22"/>
      </w:rPr>
    </w:tblStylePr>
    <w:tblStylePr w:type="band2Vert">
      <w:rPr>
        <w:rFonts w:ascii="Arial" w:hAnsi="Arial"/>
        <w:color w:val="404040"/>
        <w:sz w:val="22"/>
      </w:rPr>
      <w:tcPr>
        <w:shd w:val="clear" w:color="auto" w:fill="EAF1DD"/>
      </w:tcPr>
    </w:tblStylePr>
    <w:tblStylePr w:type="band1Horz">
      <w:rPr>
        <w:rFonts w:ascii="Arial" w:hAnsi="Arial"/>
        <w:color w:val="404040"/>
        <w:sz w:val="22"/>
      </w:rPr>
    </w:tblStylePr>
    <w:tblStylePr w:type="band2Horz">
      <w:rPr>
        <w:rFonts w:ascii="Arial" w:hAnsi="Arial"/>
        <w:color w:val="404040"/>
        <w:sz w:val="22"/>
      </w:rPr>
      <w:tcPr>
        <w:shd w:val="clear" w:color="auto" w:fill="EAF1DD"/>
      </w:tcPr>
    </w:tblStylePr>
  </w:style>
  <w:style w:type="table" w:customStyle="1" w:styleId="71">
    <w:name w:val="Bordered &amp; Lined - Accent 4"/>
    <w:basedOn w:val="32"/>
    <w:uiPriority w:val="99"/>
    <w:pPr>
      <w:spacing w:after="0" w:line="240" w:lineRule="auto"/>
    </w:pPr>
    <w:rPr>
      <w:color w:val="404040"/>
    </w:rPr>
    <w:tblPr>
      <w:tblBorders>
        <w:top w:val="single" w:color="8064A2" w:sz="4" w:space="0"/>
        <w:left w:val="single" w:color="8064A2" w:sz="4" w:space="0"/>
        <w:bottom w:val="single" w:color="8064A2" w:sz="4" w:space="0"/>
        <w:right w:val="single" w:color="8064A2" w:sz="4" w:space="0"/>
        <w:insideH w:val="single" w:color="8064A2" w:sz="4" w:space="0"/>
        <w:insideV w:val="single" w:color="8064A2" w:sz="4" w:space="0"/>
      </w:tblBorders>
      <w:tblLayout w:type="fixed"/>
      <w:tblCellMar>
        <w:top w:w="96" w:type="dxa"/>
        <w:left w:w="170" w:type="dxa"/>
        <w:bottom w:w="96" w:type="dxa"/>
        <w:right w:w="170" w:type="dxa"/>
      </w:tblCellMar>
    </w:tblPr>
    <w:tblStylePr w:type="firstRow">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tblStylePr w:type="firstCol">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band1Vert">
      <w:rPr>
        <w:rFonts w:ascii="Arial" w:hAnsi="Arial"/>
        <w:color w:val="404040"/>
        <w:sz w:val="22"/>
      </w:rPr>
    </w:tblStylePr>
    <w:tblStylePr w:type="band2Vert">
      <w:rPr>
        <w:rFonts w:ascii="Arial" w:hAnsi="Arial"/>
        <w:color w:val="404040"/>
        <w:sz w:val="22"/>
      </w:rPr>
      <w:tcPr>
        <w:shd w:val="clear" w:color="auto" w:fill="E5DFEC"/>
      </w:tcPr>
    </w:tblStylePr>
    <w:tblStylePr w:type="band1Horz">
      <w:rPr>
        <w:rFonts w:ascii="Arial" w:hAnsi="Arial"/>
        <w:color w:val="404040"/>
        <w:sz w:val="22"/>
      </w:rPr>
    </w:tblStylePr>
    <w:tblStylePr w:type="band2Horz">
      <w:rPr>
        <w:rFonts w:ascii="Arial" w:hAnsi="Arial"/>
        <w:color w:val="404040"/>
        <w:sz w:val="22"/>
      </w:rPr>
      <w:tcPr>
        <w:shd w:val="clear" w:color="auto" w:fill="E5DFEC"/>
      </w:tcPr>
    </w:tblStylePr>
  </w:style>
  <w:style w:type="table" w:customStyle="1" w:styleId="72">
    <w:name w:val="Bordered &amp; Lined - Accent 5"/>
    <w:basedOn w:val="32"/>
    <w:qFormat/>
    <w:uiPriority w:val="99"/>
    <w:pPr>
      <w:spacing w:after="0" w:line="240" w:lineRule="auto"/>
    </w:pPr>
    <w:rPr>
      <w:color w:val="404040"/>
    </w:rPr>
    <w:tblPr>
      <w:tblBorders>
        <w:top w:val="single" w:color="31849B" w:sz="4" w:space="0"/>
        <w:left w:val="single" w:color="31849B" w:sz="4" w:space="0"/>
        <w:bottom w:val="single" w:color="31849B" w:sz="4" w:space="0"/>
        <w:right w:val="single" w:color="31849B" w:sz="4" w:space="0"/>
        <w:insideH w:val="single" w:color="31849B" w:sz="4" w:space="0"/>
        <w:insideV w:val="single" w:color="31849B" w:sz="4" w:space="0"/>
      </w:tblBorders>
      <w:tblLayout w:type="fixed"/>
      <w:tblCellMar>
        <w:top w:w="96" w:type="dxa"/>
        <w:left w:w="170" w:type="dxa"/>
        <w:bottom w:w="96" w:type="dxa"/>
        <w:right w:w="170" w:type="dxa"/>
      </w:tblCellMar>
    </w:tblPr>
    <w:tblStylePr w:type="firstRow">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tblStylePr w:type="firstCol">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band1Vert">
      <w:rPr>
        <w:rFonts w:ascii="Arial" w:hAnsi="Arial"/>
        <w:color w:val="404040"/>
        <w:sz w:val="22"/>
      </w:rPr>
    </w:tblStylePr>
    <w:tblStylePr w:type="band2Vert">
      <w:rPr>
        <w:rFonts w:ascii="Arial" w:hAnsi="Arial"/>
        <w:color w:val="404040"/>
        <w:sz w:val="22"/>
      </w:rPr>
      <w:tcPr>
        <w:shd w:val="clear" w:color="auto" w:fill="DAEEF3"/>
      </w:tcPr>
    </w:tblStylePr>
    <w:tblStylePr w:type="band1Horz">
      <w:rPr>
        <w:rFonts w:ascii="Arial" w:hAnsi="Arial"/>
        <w:color w:val="404040"/>
        <w:sz w:val="22"/>
      </w:rPr>
    </w:tblStylePr>
    <w:tblStylePr w:type="band2Horz">
      <w:rPr>
        <w:rFonts w:ascii="Arial" w:hAnsi="Arial"/>
        <w:color w:val="404040"/>
        <w:sz w:val="22"/>
      </w:rPr>
      <w:tcPr>
        <w:shd w:val="clear" w:color="auto" w:fill="DAEEF3"/>
      </w:tcPr>
    </w:tblStylePr>
  </w:style>
  <w:style w:type="table" w:customStyle="1" w:styleId="73">
    <w:name w:val="Bordered &amp; Lined - Accent 6"/>
    <w:basedOn w:val="32"/>
    <w:qFormat/>
    <w:uiPriority w:val="99"/>
    <w:pPr>
      <w:spacing w:after="0" w:line="240" w:lineRule="auto"/>
    </w:pPr>
    <w:rPr>
      <w:color w:val="404040"/>
    </w:rPr>
    <w:tblPr>
      <w:tblBorders>
        <w:top w:val="single" w:color="E36C0A" w:sz="4" w:space="0"/>
        <w:left w:val="single" w:color="E36C0A" w:sz="4" w:space="0"/>
        <w:bottom w:val="single" w:color="E36C0A" w:sz="4" w:space="0"/>
        <w:right w:val="single" w:color="E36C0A" w:sz="4" w:space="0"/>
        <w:insideH w:val="single" w:color="E36C0A" w:sz="4" w:space="0"/>
        <w:insideV w:val="single" w:color="E36C0A" w:sz="4" w:space="0"/>
      </w:tblBorders>
      <w:tblLayout w:type="fixed"/>
      <w:tblCellMar>
        <w:top w:w="96" w:type="dxa"/>
        <w:left w:w="170" w:type="dxa"/>
        <w:bottom w:w="96" w:type="dxa"/>
        <w:right w:w="170" w:type="dxa"/>
      </w:tblCellMar>
    </w:tblPr>
    <w:tblStylePr w:type="firstRow">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tblStylePr w:type="firstCol">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band1Vert">
      <w:rPr>
        <w:rFonts w:ascii="Arial" w:hAnsi="Arial"/>
        <w:color w:val="404040"/>
        <w:sz w:val="22"/>
      </w:rPr>
    </w:tblStylePr>
    <w:tblStylePr w:type="band2Vert">
      <w:rPr>
        <w:rFonts w:ascii="Arial" w:hAnsi="Arial"/>
        <w:color w:val="404040"/>
        <w:sz w:val="22"/>
      </w:rPr>
      <w:tcPr>
        <w:shd w:val="clear" w:color="auto" w:fill="FDE9D9"/>
      </w:tcPr>
    </w:tblStylePr>
    <w:tblStylePr w:type="band1Horz">
      <w:rPr>
        <w:rFonts w:ascii="Arial" w:hAnsi="Arial"/>
        <w:color w:val="404040"/>
        <w:sz w:val="22"/>
      </w:rPr>
    </w:tblStylePr>
    <w:tblStylePr w:type="band2Horz">
      <w:rPr>
        <w:rFonts w:ascii="Arial" w:hAnsi="Arial"/>
        <w:color w:val="404040"/>
        <w:sz w:val="22"/>
      </w:rPr>
      <w:tcPr>
        <w:shd w:val="clear" w:color="auto" w:fill="FDE9D9"/>
      </w:tcPr>
    </w:tblStylePr>
  </w:style>
  <w:style w:type="character" w:customStyle="1" w:styleId="74">
    <w:name w:val="Footnote Text Char"/>
    <w:link w:val="23"/>
    <w:uiPriority w:val="99"/>
    <w:rPr>
      <w:sz w:val="18"/>
    </w:rPr>
  </w:style>
  <w:style w:type="paragraph" w:customStyle="1" w:styleId="75">
    <w:name w:val="TOC Heading"/>
    <w:unhideWhenUsed/>
    <w:uiPriority w:val="39"/>
    <w:pPr>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beforeAutospacing="0" w:after="0" w:afterAutospacing="0" w:line="240" w:lineRule="auto"/>
      <w:ind w:left="0" w:right="0" w:firstLine="0"/>
      <w:jc w:val="left"/>
    </w:pPr>
    <w:rPr>
      <w:rFonts w:ascii="Times New Roman" w:hAnsi="Times New Roman" w:eastAsia="宋体" w:cs="Times New Roman"/>
      <w:color w:val="auto"/>
      <w:spacing w:val="0"/>
      <w:position w:val="0"/>
      <w:sz w:val="20"/>
      <w:szCs w:val="22"/>
      <w:lang w:val="en-US" w:eastAsia="zh-CN" w:bidi="ar-SA"/>
    </w:rPr>
  </w:style>
  <w:style w:type="table" w:customStyle="1" w:styleId="76">
    <w:name w:val="网格型1"/>
    <w:basedOn w:val="3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2021-02-24T01:55:43Z</dcterms:created>
  <dc:creator>Administrator</dc:creator>
  <cp:lastModifiedBy>Administrator</cp:lastModifiedBy>
  <dcterms:modified xsi:type="dcterms:W3CDTF">2021-02-24T02:01:01Z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