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/>
        <w:spacing w:line="560" w:lineRule="exact"/>
        <w:ind w:firstLine="320" w:firstLineChars="100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黑体" w:hAnsi="黑体" w:eastAsia="黑体"/>
          <w:color w:val="000000"/>
        </w:rPr>
        <w:t>附件1</w:t>
      </w:r>
    </w:p>
    <w:p>
      <w:pPr>
        <w:pStyle w:val="3"/>
        <w:shd w:val="clear"/>
        <w:spacing w:before="289" w:after="289"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ascii="方正小标宋简体" w:hAnsi="宋体" w:eastAsia="方正小标宋简体"/>
          <w:bCs/>
          <w:sz w:val="44"/>
          <w:szCs w:val="44"/>
        </w:rPr>
        <w:t>年度普法工作计划</w:t>
      </w:r>
    </w:p>
    <w:p>
      <w:pPr>
        <w:pStyle w:val="2"/>
        <w:shd w:val="clear"/>
        <w:spacing w:line="400" w:lineRule="exact"/>
        <w:ind w:firstLine="0"/>
        <w:jc w:val="left"/>
        <w:rPr>
          <w:rFonts w:ascii="仿宋_GB2312" w:eastAsia="仿宋_GB2312"/>
        </w:rPr>
      </w:pPr>
      <w:r>
        <w:rPr>
          <w:rFonts w:ascii="仿宋_GB2312" w:hAnsi="仿宋" w:eastAsia="仿宋_GB2312"/>
          <w:color w:val="000000"/>
          <w:sz w:val="24"/>
        </w:rPr>
        <w:t>单位（盖章）：</w:t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>烟台市自然资源和规划局</w:t>
      </w:r>
      <w:r>
        <w:rPr>
          <w:rFonts w:ascii="仿宋_GB2312" w:hAnsi="仿宋" w:eastAsia="仿宋_GB2312"/>
          <w:color w:val="000000"/>
          <w:sz w:val="24"/>
        </w:rPr>
        <w:t xml:space="preserve"> </w:t>
      </w:r>
    </w:p>
    <w:tbl>
      <w:tblPr>
        <w:tblStyle w:val="4"/>
        <w:tblW w:w="8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07"/>
        <w:gridCol w:w="3671"/>
        <w:gridCol w:w="2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工作任务</w:t>
            </w: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具体措施</w:t>
            </w: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学习贯彻习近平法治思想</w:t>
            </w: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会前学法、集体学习</w:t>
            </w: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学习宣传民法典、自然资源法律法规和制度规定</w:t>
            </w: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会前学法、集体学习及结合主题节日活动集中宣传</w:t>
            </w: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主题节日集中宣传</w:t>
            </w: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法律六进、送法下乡等</w:t>
            </w: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法润自然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普法品牌建设</w:t>
            </w: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打造自然资源法治文化阵地</w:t>
            </w: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3"/>
              <w:shd w:val="clear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pStyle w:val="3"/>
        <w:shd w:val="clear" w:color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851" w:footer="1418" w:gutter="0"/>
          <w:cols w:space="425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普法联络人：王颖 6719020</w:t>
      </w: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附件2</w:t>
      </w: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ascii="方正小标宋简体" w:hAnsi="宋体" w:eastAsia="方正小标宋简体"/>
          <w:bCs/>
          <w:color w:val="000000"/>
          <w:sz w:val="44"/>
          <w:szCs w:val="44"/>
        </w:rPr>
        <w:t>两项普法责任清单</w:t>
      </w:r>
    </w:p>
    <w:p>
      <w:pPr>
        <w:pStyle w:val="3"/>
        <w:shd w:val="clear"/>
        <w:spacing w:line="560" w:lineRule="exact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>单位（盖章）：</w:t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>烟台市自然资源和规划局</w:t>
      </w:r>
      <w:r>
        <w:rPr>
          <w:rFonts w:ascii="仿宋_GB2312" w:hAnsi="仿宋" w:eastAsia="仿宋_GB2312"/>
          <w:color w:val="000000"/>
          <w:sz w:val="24"/>
        </w:rPr>
        <w:t xml:space="preserve"> </w:t>
      </w:r>
      <w:r>
        <w:rPr>
          <w:rFonts w:hAnsi="仿宋"/>
          <w:color w:val="000000"/>
          <w:sz w:val="24"/>
        </w:rPr>
        <w:t xml:space="preserve">                  </w:t>
      </w:r>
    </w:p>
    <w:tbl>
      <w:tblPr>
        <w:tblStyle w:val="4"/>
        <w:tblW w:w="129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01"/>
        <w:gridCol w:w="4023"/>
        <w:gridCol w:w="3336"/>
        <w:gridCol w:w="3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普法内容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普法形式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责任科室、责任人及联系方式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规定普法</w:t>
            </w:r>
          </w:p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责任清单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1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/>
                <w:sz w:val="24"/>
                <w:szCs w:val="24"/>
              </w:rPr>
              <w:t>《中华人民共和国宪法》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int="default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2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仿宋_GB2312"/>
                <w:sz w:val="24"/>
                <w:szCs w:val="24"/>
              </w:rPr>
              <w:t>习近平法治思想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3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《中华人民共和国民法典》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自选普法</w:t>
            </w:r>
          </w:p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责任清单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1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《中华人民共和国土地管理法》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int="eastAsia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2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《中华人民共和国城乡规划法》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</w:t>
            </w:r>
            <w:bookmarkStart w:id="0" w:name="OLE_LINK1"/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矿产资源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  <w:shd w:val="clear" w:color="auto" w:fill="auto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政策法规科 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3"/>
              <w:shd w:val="clear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法》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实地宣传与媒体宣传相结合、主题日集中宣传等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测绘和地理信息科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秦立华6719012</w:t>
            </w:r>
          </w:p>
        </w:tc>
      </w:tr>
    </w:tbl>
    <w:p>
      <w:pPr>
        <w:pStyle w:val="3"/>
        <w:shd w:val="clear"/>
        <w:sectPr>
          <w:pgSz w:w="16838" w:h="11906" w:orient="landscape"/>
          <w:pgMar w:top="1531" w:right="2098" w:bottom="1531" w:left="1985" w:header="851" w:footer="1418" w:gutter="0"/>
          <w:cols w:space="425" w:num="1"/>
          <w:docGrid w:linePitch="360" w:charSpace="0"/>
        </w:sectPr>
      </w:pPr>
    </w:p>
    <w:p>
      <w:pPr>
        <w:pStyle w:val="3"/>
        <w:shd w:val="clear"/>
        <w:spacing w:line="560" w:lineRule="exact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附件3</w:t>
      </w:r>
    </w:p>
    <w:p>
      <w:pPr>
        <w:pStyle w:val="3"/>
        <w:shd w:val="clear"/>
        <w:spacing w:before="289" w:after="289" w:line="56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ascii="方正小标宋简体" w:hAnsi="宋体" w:eastAsia="方正小标宋简体"/>
          <w:bCs/>
          <w:color w:val="000000"/>
          <w:sz w:val="44"/>
          <w:szCs w:val="44"/>
        </w:rPr>
        <w:t>领导干部应知应会学法清单</w:t>
      </w:r>
    </w:p>
    <w:p>
      <w:pPr>
        <w:pStyle w:val="3"/>
        <w:shd w:val="clear"/>
        <w:spacing w:line="560" w:lineRule="exac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>单位（盖章）：</w:t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>烟台市自然资源和规划局</w:t>
      </w:r>
      <w:r>
        <w:rPr>
          <w:rFonts w:hAnsi="仿宋"/>
          <w:color w:val="000000"/>
          <w:sz w:val="24"/>
        </w:rPr>
        <w:t xml:space="preserve">                  </w:t>
      </w:r>
    </w:p>
    <w:tbl>
      <w:tblPr>
        <w:tblStyle w:val="4"/>
        <w:tblW w:w="8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55"/>
        <w:gridCol w:w="1421"/>
        <w:gridCol w:w="2197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1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学法内容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学法形式</w:t>
            </w:r>
          </w:p>
        </w:tc>
        <w:tc>
          <w:tcPr>
            <w:tcW w:w="2197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开展时限</w:t>
            </w:r>
          </w:p>
        </w:tc>
        <w:tc>
          <w:tcPr>
            <w:tcW w:w="2233" w:type="dxa"/>
            <w:vAlign w:val="center"/>
          </w:tcPr>
          <w:p>
            <w:pPr>
              <w:pStyle w:val="3"/>
              <w:shd w:val="clear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联络人及联系方式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</w:rPr>
              <w:t>1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</w:rPr>
              <w:t>习近平法治思想、宪法、党内法律法</w:t>
            </w:r>
            <w:r>
              <w:rPr>
                <w:rFonts w:hint="eastAsia" w:hAnsi="仿宋"/>
                <w:sz w:val="24"/>
                <w:lang w:val="en-US" w:eastAsia="zh-CN"/>
              </w:rPr>
              <w:t>规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会前学法，集体学习与个人自学相结合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全年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</w:rPr>
              <w:t>2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</w:rPr>
              <w:t>民法典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全年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王颖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</w:rPr>
              <w:t>3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行政复议法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hAnsi="仿宋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仿宋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3月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仿宋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徐洁 6719020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</w:rPr>
              <w:t>4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</w:rPr>
              <w:t>行政许可法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5月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宋体"/>
                <w:sz w:val="24"/>
                <w:szCs w:val="24"/>
                <w:lang w:val="en-US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任丽娜 6080580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default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矿产资源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  <w:bookmarkStart w:id="1" w:name="_GoBack"/>
            <w:bookmarkEnd w:id="1"/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戚树发 6719007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szCs w:val="24"/>
                <w:shd w:val="clear"/>
                <w:lang w:val="en-US" w:eastAsia="zh-CN"/>
              </w:rPr>
              <w:t>6</w:t>
            </w: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测绘法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王玉鹏 6719012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pStyle w:val="3"/>
              <w:shd w:val="clear"/>
              <w:jc w:val="center"/>
              <w:rPr>
                <w:rFonts w:hint="default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</w:rPr>
              <w:t>行政处罚法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集体学习与个人自学相结合</w:t>
            </w:r>
          </w:p>
        </w:tc>
        <w:tc>
          <w:tcPr>
            <w:tcW w:w="2197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default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2233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王文博 6719057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default" w:ascii="仿宋_GB2312" w:hAnsi="仿宋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pStyle w:val="3"/>
              <w:shd w:val="clear"/>
              <w:jc w:val="center"/>
              <w:rPr>
                <w:rFonts w:hint="eastAsia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hAnsi="仿宋"/>
                <w:sz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hAnsi="仿宋"/>
                <w:sz w:val="24"/>
                <w:lang w:val="en-US"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3"/>
              <w:shd w:val="clear"/>
              <w:ind w:left="0" w:leftChars="0" w:right="0" w:rightChars="0"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pStyle w:val="3"/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hd w:val="clear"/>
      <w:tabs>
        <w:tab w:val="left" w:pos="3305"/>
        <w:tab w:val="right" w:pos="8644"/>
      </w:tabs>
      <w:ind w:right="32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9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/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clea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6CF5"/>
    <w:rsid w:val="02F95D29"/>
    <w:rsid w:val="1BE05826"/>
    <w:rsid w:val="1C7D3B49"/>
    <w:rsid w:val="39CB2002"/>
    <w:rsid w:val="3D6C3D76"/>
    <w:rsid w:val="4343436A"/>
    <w:rsid w:val="483F02AD"/>
    <w:rsid w:val="49CB0A20"/>
    <w:rsid w:val="4EDC46DD"/>
    <w:rsid w:val="4F8C310F"/>
    <w:rsid w:val="586E5039"/>
    <w:rsid w:val="5E275D1C"/>
    <w:rsid w:val="6345557E"/>
    <w:rsid w:val="63BA6CF5"/>
    <w:rsid w:val="673C4090"/>
    <w:rsid w:val="769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3"/>
    <w:qFormat/>
    <w:uiPriority w:val="0"/>
    <w:pPr>
      <w:spacing w:line="360" w:lineRule="auto"/>
      <w:ind w:firstLine="480"/>
    </w:pPr>
    <w:rPr>
      <w:rFonts w:ascii="宋体" w:hAnsi="宋体" w:eastAsia="宋体"/>
      <w:sz w:val="21"/>
      <w:szCs w:val="24"/>
    </w:rPr>
  </w:style>
  <w:style w:type="paragraph" w:customStyle="1" w:styleId="3">
    <w:name w:val="正文1"/>
    <w:link w:val="8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仿宋_GB2312" w:hAnsi="Times New Roman" w:eastAsia="仿宋_GB2312" w:cs="Times New Roman"/>
      <w:color w:val="auto"/>
      <w:spacing w:val="0"/>
      <w:position w:val="0"/>
      <w:sz w:val="32"/>
      <w:szCs w:val="32"/>
      <w:lang w:val="en-US" w:eastAsia="zh-CN" w:bidi="ar-SA"/>
    </w:rPr>
  </w:style>
  <w:style w:type="paragraph" w:customStyle="1" w:styleId="6">
    <w:name w:val="页脚1"/>
    <w:basedOn w:val="3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7">
    <w:name w:val="页码1"/>
    <w:basedOn w:val="8"/>
    <w:link w:val="3"/>
    <w:qFormat/>
    <w:uiPriority w:val="0"/>
    <w:rPr>
      <w:rFonts w:ascii="仿宋_GB2312" w:hAnsi="Times New Roman" w:eastAsia="仿宋_GB2312" w:cs="Times New Roman"/>
      <w:color w:val="auto"/>
      <w:spacing w:val="0"/>
      <w:position w:val="0"/>
      <w:sz w:val="32"/>
      <w:szCs w:val="32"/>
      <w:lang w:val="en-US" w:eastAsia="zh-CN" w:bidi="ar-SA"/>
    </w:rPr>
  </w:style>
  <w:style w:type="character" w:customStyle="1" w:styleId="8">
    <w:name w:val="默认段落字体1"/>
    <w:link w:val="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2023-04-19T09:10:00Z</dcterms:created>
  <dc:creator>Administrator</dc:creator>
  <cp:lastModifiedBy>Administrator</cp:lastModifiedBy>
  <cp:lastPrinted>2024-07-26T01:56:00Z</cp:lastPrinted>
  <dcterms:modified xsi:type="dcterms:W3CDTF">2025-09-16T01:18:35Z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38EDFE79BE8D4EF1982BCB6AC0886B4E</vt:lpwstr>
  </property>
</Properties>
</file>